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Framework Schedule 7 (Call-Off Award Procedure</w:t>
      </w:r>
      <w:bookmarkStart w:colFirst="0" w:colLast="0" w:name="bookmark=id.gjdgxs" w:id="0"/>
      <w:bookmarkEnd w:id="0"/>
      <w:r w:rsidDel="00000000" w:rsidR="00000000" w:rsidRPr="00000000">
        <w:rPr>
          <w:rFonts w:ascii="Arial" w:cs="Arial" w:eastAsia="Arial" w:hAnsi="Arial"/>
          <w:b w:val="1"/>
          <w:color w:val="000000"/>
          <w:sz w:val="36"/>
          <w:szCs w:val="36"/>
          <w:rtl w:val="0"/>
        </w:rPr>
        <w:t xml:space="preserve">) </w:t>
      </w:r>
    </w:p>
    <w:p w:rsidR="00000000" w:rsidDel="00000000" w:rsidP="00000000" w:rsidRDefault="00000000" w:rsidRPr="00000000" w14:paraId="00000002">
      <w:pPr>
        <w:pageBreakBefore w:val="0"/>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Part 1: Order Procedure</w:t>
      </w:r>
    </w:p>
    <w:p w:rsidR="00000000" w:rsidDel="00000000" w:rsidP="00000000" w:rsidRDefault="00000000" w:rsidRPr="00000000" w14:paraId="00000003">
      <w:pPr>
        <w:keepNext w:val="1"/>
        <w:pageBreakBefore w:val="0"/>
        <w:widowControl w:val="1"/>
        <w:numPr>
          <w:ilvl w:val="0"/>
          <w:numId w:val="4"/>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Call-Off Contract is awarded</w:t>
      </w:r>
    </w:p>
    <w:p w:rsidR="00000000" w:rsidDel="00000000" w:rsidP="00000000" w:rsidRDefault="00000000" w:rsidRPr="00000000" w14:paraId="00000004">
      <w:pPr>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potential Buyer decides to source Deliverables through this Contract then it will award its Deliverables in accordance with the procedure in this Schedule and the requirements of the Regulations.</w:t>
      </w:r>
    </w:p>
    <w:p w:rsidR="00000000" w:rsidDel="00000000" w:rsidP="00000000" w:rsidRDefault="00000000" w:rsidRPr="00000000" w14:paraId="00000005">
      <w:pPr>
        <w:keepNext w:val="1"/>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If the potential Buyer can determine that:</w:t>
      </w:r>
    </w:p>
    <w:p w:rsidR="00000000" w:rsidDel="00000000" w:rsidP="00000000" w:rsidRDefault="00000000" w:rsidRPr="00000000" w14:paraId="00000006">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07">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of the terms of the proposed Call-Off Contract are laid down in this Contract and do not require amendment or any supplementary terms and conditions;</w:t>
      </w:r>
    </w:p>
    <w:p w:rsidR="00000000" w:rsidDel="00000000" w:rsidP="00000000" w:rsidRDefault="00000000" w:rsidRPr="00000000" w14:paraId="00000008">
      <w:pPr>
        <w:pageBreakBefore w:val="0"/>
        <w:widowControl w:val="1"/>
        <w:pBdr>
          <w:top w:space="0" w:sz="0" w:val="nil"/>
          <w:left w:space="0" w:sz="0" w:val="nil"/>
          <w:bottom w:space="0" w:sz="0" w:val="nil"/>
          <w:right w:space="0" w:sz="0" w:val="nil"/>
          <w:between w:space="0" w:sz="0" w:val="nil"/>
        </w:pBdr>
        <w:tabs>
          <w:tab w:val="left" w:leader="none" w:pos="4536"/>
        </w:tabs>
        <w:spacing w:after="2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procedure set out in Paragraph 2 below.</w:t>
      </w:r>
    </w:p>
    <w:p w:rsidR="00000000" w:rsidDel="00000000" w:rsidP="00000000" w:rsidRDefault="00000000" w:rsidRPr="00000000" w14:paraId="00000009">
      <w:pPr>
        <w:keepNext w:val="1"/>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all of the terms of the proposed Call-Off Contract are not laid down in this Contract and the potential Buyer:</w:t>
      </w:r>
    </w:p>
    <w:p w:rsidR="00000000" w:rsidDel="00000000" w:rsidP="00000000" w:rsidRDefault="00000000" w:rsidRPr="00000000" w14:paraId="0000000A">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requires the Supplier to develop proposals or a solution in respect of such Deliverables; and/or</w:t>
      </w:r>
    </w:p>
    <w:p w:rsidR="00000000" w:rsidDel="00000000" w:rsidP="00000000" w:rsidRDefault="00000000" w:rsidRPr="00000000" w14:paraId="0000000B">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needs to amend or refine the terms of the Framework Contract to reflect its Deliverables to the extent permitted by and in accordance with the Regulations;</w:t>
      </w:r>
    </w:p>
    <w:p w:rsidR="00000000" w:rsidDel="00000000" w:rsidP="00000000" w:rsidRDefault="00000000" w:rsidRPr="00000000" w14:paraId="0000000C">
      <w:pPr>
        <w:pageBreakBefore w:val="0"/>
        <w:widowControl w:val="1"/>
        <w:pBdr>
          <w:top w:space="0" w:sz="0" w:val="nil"/>
          <w:left w:space="0" w:sz="0" w:val="nil"/>
          <w:bottom w:space="0" w:sz="0" w:val="nil"/>
          <w:right w:space="0" w:sz="0" w:val="nil"/>
          <w:between w:space="0" w:sz="0" w:val="nil"/>
        </w:pBdr>
        <w:tabs>
          <w:tab w:val="left" w:leader="none" w:pos="4536"/>
        </w:tabs>
        <w:spacing w:after="220" w:lineRule="auto"/>
        <w:ind w:left="90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Further Competition Procedure set out in Paragraph 3 below.</w:t>
      </w:r>
    </w:p>
    <w:p w:rsidR="00000000" w:rsidDel="00000000" w:rsidP="00000000" w:rsidRDefault="00000000" w:rsidRPr="00000000" w14:paraId="0000000D">
      <w:pPr>
        <w:keepNext w:val="1"/>
        <w:pageBreakBefore w:val="0"/>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direct award works</w:t>
      </w:r>
    </w:p>
    <w:p w:rsidR="00000000" w:rsidDel="00000000" w:rsidP="00000000" w:rsidRDefault="00000000" w:rsidRPr="00000000" w14:paraId="0000000E">
      <w:pPr>
        <w:keepNext w:val="1"/>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1.2 above the Buyer awarding a Call-Off Contract under this Contract without holding a further competition shall:</w:t>
      </w:r>
    </w:p>
    <w:p w:rsidR="00000000" w:rsidDel="00000000" w:rsidP="00000000" w:rsidRDefault="00000000" w:rsidRPr="00000000" w14:paraId="0000000F">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develop a clear Statement of Requirements;</w:t>
      </w:r>
    </w:p>
    <w:p w:rsidR="00000000" w:rsidDel="00000000" w:rsidP="00000000" w:rsidRDefault="00000000" w:rsidRPr="00000000" w14:paraId="00000010">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the direct award criteria to the Suppliers’ description of the Deliverables as set out in Framework Schedule 1 (Specification) </w:t>
      </w:r>
      <w:r w:rsidDel="00000000" w:rsidR="00000000" w:rsidRPr="00000000">
        <w:rPr>
          <w:rFonts w:ascii="Arial" w:cs="Arial" w:eastAsia="Arial" w:hAnsi="Arial"/>
          <w:color w:val="000000"/>
          <w:sz w:val="24"/>
          <w:szCs w:val="24"/>
          <w:rtl w:val="0"/>
        </w:rPr>
        <w:t xml:space="preserve">for all Suppliers capable of meeting the Statement of Requirements in order to establish which Supplier provides the most economically advantageous solution; and</w:t>
      </w:r>
    </w:p>
    <w:p w:rsidR="00000000" w:rsidDel="00000000" w:rsidP="00000000" w:rsidRDefault="00000000" w:rsidRPr="00000000" w14:paraId="00000011">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basis set out above, award the Call-Off Contract with the successful Supplier in accordance with Paragraph 6 below.</w:t>
      </w:r>
    </w:p>
    <w:p w:rsidR="00000000" w:rsidDel="00000000" w:rsidP="00000000" w:rsidRDefault="00000000" w:rsidRPr="00000000" w14:paraId="00000012">
      <w:pPr>
        <w:pageBreakBefore w:val="0"/>
        <w:widowControl w:val="1"/>
        <w:pBdr>
          <w:top w:space="0" w:sz="0" w:val="nil"/>
          <w:left w:space="0" w:sz="0" w:val="nil"/>
          <w:bottom w:space="0" w:sz="0" w:val="nil"/>
          <w:right w:space="0" w:sz="0" w:val="nil"/>
          <w:between w:space="0" w:sz="0" w:val="nil"/>
        </w:pBdr>
        <w:tabs>
          <w:tab w:val="left" w:leader="none" w:pos="3641"/>
        </w:tabs>
        <w:spacing w:after="120" w:before="120" w:lineRule="auto"/>
        <w:ind w:left="1985"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3">
      <w:pPr>
        <w:keepNext w:val="1"/>
        <w:pageBreakBefore w:val="0"/>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further competition works</w:t>
      </w:r>
    </w:p>
    <w:p w:rsidR="00000000" w:rsidDel="00000000" w:rsidP="00000000" w:rsidRDefault="00000000" w:rsidRPr="00000000" w14:paraId="00000014">
      <w:pPr>
        <w:keepNext w:val="1"/>
        <w:pageBreakBefore w:val="0"/>
        <w:widowControl w:val="1"/>
        <w:pBdr>
          <w:top w:space="0" w:sz="0" w:val="nil"/>
          <w:left w:space="0" w:sz="0" w:val="nil"/>
          <w:bottom w:space="0" w:sz="0" w:val="nil"/>
          <w:right w:space="0" w:sz="0" w:val="nil"/>
          <w:between w:space="0" w:sz="0" w:val="nil"/>
        </w:pBdr>
        <w:tabs>
          <w:tab w:val="left" w:leader="none" w:pos="3054"/>
        </w:tabs>
        <w:spacing w:after="120" w:before="120" w:lineRule="auto"/>
        <w:ind w:left="1134" w:hanging="77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Buyer has to do</w:t>
      </w:r>
    </w:p>
    <w:p w:rsidR="00000000" w:rsidDel="00000000" w:rsidP="00000000" w:rsidRDefault="00000000" w:rsidRPr="00000000" w14:paraId="00000015">
      <w:pPr>
        <w:keepNext w:val="1"/>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awarding a Call-Off Contract under this Contract through a Further Competition Procedure shall:</w:t>
      </w:r>
    </w:p>
    <w:p w:rsidR="00000000" w:rsidDel="00000000" w:rsidP="00000000" w:rsidRDefault="00000000" w:rsidRPr="00000000" w14:paraId="00000016">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develop a Statement of Requirements setting out its requirements for the Deliverables and identify the Suppliers capable of supplying the them;</w:t>
      </w:r>
    </w:p>
    <w:p w:rsidR="00000000" w:rsidDel="00000000" w:rsidP="00000000" w:rsidRDefault="00000000" w:rsidRPr="00000000" w14:paraId="00000017">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amend or refine the Deliverables to reflect its requirements by using the Order Form only to the extent permitted by and in accordance with the requirements of the Regulations;</w:t>
      </w:r>
    </w:p>
    <w:p w:rsidR="00000000" w:rsidDel="00000000" w:rsidP="00000000" w:rsidRDefault="00000000" w:rsidRPr="00000000" w14:paraId="00000018">
      <w:pPr>
        <w:keepNext w:val="1"/>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invite tenders by conducting a Further Competition Procedure for its Deliverables in accordance with the Regulations and in particular:</w:t>
      </w:r>
    </w:p>
    <w:p w:rsidR="00000000" w:rsidDel="00000000" w:rsidP="00000000" w:rsidRDefault="00000000" w:rsidRPr="00000000" w14:paraId="00000019">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Electronic Reverse Auction (as defined in Paragraph 7 below) is to be held, the Buyer shall notify the Suppliers identified in accordance with Paragraph 3.1.1 and shall conduct the Further Competition Procedure in accordance with the procedures set out in Paragraph 3; or</w:t>
      </w:r>
    </w:p>
    <w:p w:rsidR="00000000" w:rsidDel="00000000" w:rsidP="00000000" w:rsidRDefault="00000000" w:rsidRPr="00000000" w14:paraId="0000001A">
      <w:pPr>
        <w:keepNext w:val="1"/>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Electronic Reverse Auction is not used, the Buyer shall:</w:t>
      </w:r>
    </w:p>
    <w:p w:rsidR="00000000" w:rsidDel="00000000" w:rsidP="00000000" w:rsidRDefault="00000000" w:rsidRPr="00000000" w14:paraId="0000001B">
      <w:pPr>
        <w:pageBreakBefore w:val="0"/>
        <w:widowControl w:val="1"/>
        <w:numPr>
          <w:ilvl w:val="4"/>
          <w:numId w:val="3"/>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invite the Suppliers identified in accordance with Paragraph 3.1.1 to submit a tender in writing for each proposed Call-Off Contract to be awarded by giving written notice by email to the relevant Supplier Representative of each Supplier;</w:t>
      </w:r>
    </w:p>
    <w:p w:rsidR="00000000" w:rsidDel="00000000" w:rsidP="00000000" w:rsidRDefault="00000000" w:rsidRPr="00000000" w14:paraId="0000001C">
      <w:pPr>
        <w:pageBreakBefore w:val="0"/>
        <w:widowControl w:val="1"/>
        <w:numPr>
          <w:ilvl w:val="4"/>
          <w:numId w:val="3"/>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 a time limit for the receipt by it of the tenders which takes into account factors such as the complexity of the subject matter of the proposed Call-Off Contract and the time needed to submit tenders; and</w:t>
      </w:r>
    </w:p>
    <w:p w:rsidR="00000000" w:rsidDel="00000000" w:rsidP="00000000" w:rsidRDefault="00000000" w:rsidRPr="00000000" w14:paraId="0000001D">
      <w:pPr>
        <w:pageBreakBefore w:val="0"/>
        <w:widowControl w:val="1"/>
        <w:numPr>
          <w:ilvl w:val="4"/>
          <w:numId w:val="3"/>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keep each tender confidential until the time limit set out for the return of tenders has expired.</w:t>
      </w:r>
    </w:p>
    <w:p w:rsidR="00000000" w:rsidDel="00000000" w:rsidP="00000000" w:rsidRDefault="00000000" w:rsidRPr="00000000" w14:paraId="0000001E">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the further competition award criteria to the Suppliers' compliant tenders submitted through the Further Competition Procedure as the basis of its decision to award a Call-Off Contract for its Deliverables;</w:t>
      </w:r>
    </w:p>
    <w:p w:rsidR="00000000" w:rsidDel="00000000" w:rsidP="00000000" w:rsidRDefault="00000000" w:rsidRPr="00000000" w14:paraId="0000001F">
      <w:pPr>
        <w:keepNext w:val="1"/>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basis set out above, award its Call-Off Contract to the successful Supplier in accordance with Paragraph 6. The Call-Off Contract shall:</w:t>
      </w:r>
    </w:p>
    <w:p w:rsidR="00000000" w:rsidDel="00000000" w:rsidP="00000000" w:rsidRDefault="00000000" w:rsidRPr="00000000" w14:paraId="00000020">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Deliverables;</w:t>
      </w:r>
    </w:p>
    <w:p w:rsidR="00000000" w:rsidDel="00000000" w:rsidP="00000000" w:rsidRDefault="00000000" w:rsidRPr="00000000" w14:paraId="00000021">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tender submitted by the successful Supplier;</w:t>
      </w:r>
    </w:p>
    <w:p w:rsidR="00000000" w:rsidDel="00000000" w:rsidP="00000000" w:rsidRDefault="00000000" w:rsidRPr="00000000" w14:paraId="00000022">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Charges payable for the Deliverables in accordance with the tender submitted by the successful Supplier; and</w:t>
      </w:r>
    </w:p>
    <w:p w:rsidR="00000000" w:rsidDel="00000000" w:rsidP="00000000" w:rsidRDefault="00000000" w:rsidRPr="00000000" w14:paraId="00000023">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incorporate the terms [of the Order Form and Contract] (as may be amended or refined by the Buyer in accordance with Paragraph 3.1.2. above) applicable to the Deliverables,</w:t>
      </w:r>
    </w:p>
    <w:p w:rsidR="00000000" w:rsidDel="00000000" w:rsidP="00000000" w:rsidRDefault="00000000" w:rsidRPr="00000000" w14:paraId="00000024">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unsuccessful Suppliers with written feedback in relation to the reasons why their tenders were unsuccessful.</w:t>
      </w:r>
    </w:p>
    <w:p w:rsidR="00000000" w:rsidDel="00000000" w:rsidP="00000000" w:rsidRDefault="00000000" w:rsidRPr="00000000" w14:paraId="00000025">
      <w:pPr>
        <w:keepNext w:val="1"/>
        <w:pageBreakBefore w:val="0"/>
        <w:widowControl w:val="1"/>
        <w:pBdr>
          <w:top w:space="0" w:sz="0" w:val="nil"/>
          <w:left w:space="0" w:sz="0" w:val="nil"/>
          <w:bottom w:space="0" w:sz="0" w:val="nil"/>
          <w:right w:space="0" w:sz="0" w:val="nil"/>
          <w:between w:space="0" w:sz="0" w:val="nil"/>
        </w:pBdr>
        <w:tabs>
          <w:tab w:val="left" w:leader="none" w:pos="3054"/>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Supplier has to do</w:t>
      </w:r>
    </w:p>
    <w:p w:rsidR="00000000" w:rsidDel="00000000" w:rsidP="00000000" w:rsidRDefault="00000000" w:rsidRPr="00000000" w14:paraId="00000026">
      <w:pPr>
        <w:keepNext w:val="1"/>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shall in writing, by the time and date specified by the Buyer following an invitation to tender pursuant to Paragraph 3.1.3 above, provide CCS and the Buyer with either:</w:t>
      </w:r>
      <w:r w:rsidDel="00000000" w:rsidR="00000000" w:rsidRPr="00000000">
        <w:rPr>
          <w:rtl w:val="0"/>
        </w:rPr>
      </w:r>
    </w:p>
    <w:p w:rsidR="00000000" w:rsidDel="00000000" w:rsidP="00000000" w:rsidRDefault="00000000" w:rsidRPr="00000000" w14:paraId="00000027">
      <w:pPr>
        <w:pageBreakBefore w:val="0"/>
        <w:widowControl w:val="1"/>
        <w:pBdr>
          <w:top w:space="0" w:sz="0" w:val="nil"/>
          <w:left w:space="0" w:sz="0" w:val="nil"/>
          <w:bottom w:space="0" w:sz="0" w:val="nil"/>
          <w:right w:space="0" w:sz="0" w:val="nil"/>
          <w:between w:space="0" w:sz="0" w:val="nil"/>
        </w:pBdr>
        <w:tabs>
          <w:tab w:val="left" w:leader="none" w:pos="3641"/>
        </w:tabs>
        <w:spacing w:after="120" w:before="12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to the effect that it does not wish to tender in relation to the Deliverables; or</w:t>
      </w:r>
    </w:p>
    <w:p w:rsidR="00000000" w:rsidDel="00000000" w:rsidP="00000000" w:rsidRDefault="00000000" w:rsidRPr="00000000" w14:paraId="00000029">
      <w:pPr>
        <w:keepNext w:val="1"/>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full details of its tender made in respect of the relevant Statement of Requirements. In the event that the Supplier submits such a tender, it should include, as a minimum:</w:t>
      </w:r>
    </w:p>
    <w:p w:rsidR="00000000" w:rsidDel="00000000" w:rsidP="00000000" w:rsidRDefault="00000000" w:rsidRPr="00000000" w14:paraId="0000002A">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email response subject line to comprise unique reference number and Supplier name, so as to clearly identify the Supplier;</w:t>
      </w:r>
    </w:p>
    <w:p w:rsidR="00000000" w:rsidDel="00000000" w:rsidP="00000000" w:rsidRDefault="00000000" w:rsidRPr="00000000" w14:paraId="0000002B">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brief summary, in the email (followed by a confirmation letter), stating that the Supplier is bidding for the Statement of Requirements;</w:t>
      </w:r>
    </w:p>
    <w:p w:rsidR="00000000" w:rsidDel="00000000" w:rsidP="00000000" w:rsidRDefault="00000000" w:rsidRPr="00000000" w14:paraId="0000002C">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proposal covering the Deliverables;</w:t>
      </w:r>
    </w:p>
    <w:p w:rsidR="00000000" w:rsidDel="00000000" w:rsidP="00000000" w:rsidRDefault="00000000" w:rsidRPr="00000000" w14:paraId="0000002D">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CVs of key staff – as a minimum any lead consultant, with others, as considered appropriate along with required staff levels (if necessary); and</w:t>
      </w:r>
    </w:p>
    <w:p w:rsidR="00000000" w:rsidDel="00000000" w:rsidP="00000000" w:rsidRDefault="00000000" w:rsidRPr="00000000" w14:paraId="0000002E">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of discounts applicable to the Deliverables, as referenced in Framework Schedule 3 (Framework Prices) (if applicable).</w:t>
      </w:r>
    </w:p>
    <w:p w:rsidR="00000000" w:rsidDel="00000000" w:rsidP="00000000" w:rsidRDefault="00000000" w:rsidRPr="00000000" w14:paraId="0000002F">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any prices submitted in relation to a Further Competition Procedure held pursuant to this Paragraph 3 shall be based on the charging structure and take into account any discount to which the Buyer may be entitled as set out in Framework Schedule 3 (Framework Prices).</w:t>
      </w:r>
    </w:p>
    <w:p w:rsidR="00000000" w:rsidDel="00000000" w:rsidP="00000000" w:rsidRDefault="00000000" w:rsidRPr="00000000" w14:paraId="00000030">
      <w:pPr>
        <w:keepNext w:val="1"/>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that:</w:t>
      </w:r>
    </w:p>
    <w:p w:rsidR="00000000" w:rsidDel="00000000" w:rsidP="00000000" w:rsidRDefault="00000000" w:rsidRPr="00000000" w14:paraId="00000031">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rsidR="00000000" w:rsidDel="00000000" w:rsidP="00000000" w:rsidRDefault="00000000" w:rsidRPr="00000000" w14:paraId="00000032">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33">
      <w:pPr>
        <w:pageBreakBefore w:val="0"/>
        <w:widowControl w:val="1"/>
        <w:numPr>
          <w:ilvl w:val="4"/>
          <w:numId w:val="3"/>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34">
      <w:pPr>
        <w:pageBreakBefore w:val="0"/>
        <w:widowControl w:val="1"/>
        <w:numPr>
          <w:ilvl w:val="4"/>
          <w:numId w:val="3"/>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035">
      <w:pPr>
        <w:keepNext w:val="1"/>
        <w:pageBreakBefore w:val="0"/>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No requirement to award</w:t>
      </w:r>
      <w:r w:rsidDel="00000000" w:rsidR="00000000" w:rsidRPr="00000000">
        <w:rPr>
          <w:rtl w:val="0"/>
        </w:rPr>
      </w:r>
    </w:p>
    <w:p w:rsidR="00000000" w:rsidDel="00000000" w:rsidP="00000000" w:rsidRDefault="00000000" w:rsidRPr="00000000" w14:paraId="00000036">
      <w:pPr>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p>
    <w:p w:rsidR="00000000" w:rsidDel="00000000" w:rsidP="00000000" w:rsidRDefault="00000000" w:rsidRPr="00000000" w14:paraId="00000037">
      <w:pPr>
        <w:keepNext w:val="1"/>
        <w:pageBreakBefore w:val="0"/>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Who is responsible for the award</w:t>
      </w:r>
    </w:p>
    <w:p w:rsidR="00000000" w:rsidDel="00000000" w:rsidP="00000000" w:rsidRDefault="00000000" w:rsidRPr="00000000" w14:paraId="00000038">
      <w:pPr>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rsidR="00000000" w:rsidDel="00000000" w:rsidP="00000000" w:rsidRDefault="00000000" w:rsidRPr="00000000" w14:paraId="00000039">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conduct of Buyer in relation to this Contract; or</w:t>
      </w:r>
    </w:p>
    <w:p w:rsidR="00000000" w:rsidDel="00000000" w:rsidP="00000000" w:rsidRDefault="00000000" w:rsidRPr="00000000" w14:paraId="0000003A">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or non-performance of any Call-Off Contracts between the Supplier and Buyer entered into pursuant to this Contract.</w:t>
      </w:r>
    </w:p>
    <w:p w:rsidR="00000000" w:rsidDel="00000000" w:rsidP="00000000" w:rsidRDefault="00000000" w:rsidRPr="00000000" w14:paraId="0000003B">
      <w:pPr>
        <w:keepNext w:val="1"/>
        <w:pageBreakBefore w:val="0"/>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Awarding and creating a Call-Off Contract</w:t>
      </w:r>
      <w:r w:rsidDel="00000000" w:rsidR="00000000" w:rsidRPr="00000000">
        <w:rPr>
          <w:rtl w:val="0"/>
        </w:rPr>
      </w:r>
    </w:p>
    <w:p w:rsidR="00000000" w:rsidDel="00000000" w:rsidP="00000000" w:rsidRDefault="00000000" w:rsidRPr="00000000" w14:paraId="0000003C">
      <w:pPr>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Subject to Paragraphs 1 to 5 above and 7, a Buyer may award a Call-Off Contract with the Supplier by sending (including electronically) a signed order form substantially in the form (as may be amended or refined by the Buyer in accordance with Paragraph 3.1.2 above) of the Order Form Template set out in Framework Schedule 6 (Order Form Template and Call-Off Schedules).</w:t>
      </w:r>
    </w:p>
    <w:p w:rsidR="00000000" w:rsidDel="00000000" w:rsidP="00000000" w:rsidRDefault="00000000" w:rsidRPr="00000000" w14:paraId="0000003D">
      <w:pPr>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that any document or communication (including any document or communication in the apparent form of a Call-Off Contract) which is not as described in this Paragraph 6 shall not constitute a Call-Off Contract under this Contract.</w:t>
      </w:r>
    </w:p>
    <w:p w:rsidR="00000000" w:rsidDel="00000000" w:rsidP="00000000" w:rsidRDefault="00000000" w:rsidRPr="00000000" w14:paraId="0000003E">
      <w:pPr>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On receipt of an order form as described in Paragraph 6.1 from a Buyer the Supplier shall accept the Call-Off Contract by promptly signing and returning (including by electronic means) a copy of the order form to the Buyer concerned.</w:t>
      </w:r>
    </w:p>
    <w:p w:rsidR="00000000" w:rsidDel="00000000" w:rsidP="00000000" w:rsidRDefault="00000000" w:rsidRPr="00000000" w14:paraId="0000003F">
      <w:pPr>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rsidR="00000000" w:rsidDel="00000000" w:rsidP="00000000" w:rsidRDefault="00000000" w:rsidRPr="00000000" w14:paraId="00000040">
      <w:pPr>
        <w:keepNext w:val="1"/>
        <w:pageBreakBefore w:val="0"/>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e-auctions work</w:t>
      </w:r>
      <w:r w:rsidDel="00000000" w:rsidR="00000000" w:rsidRPr="00000000">
        <w:rPr>
          <w:rtl w:val="0"/>
        </w:rPr>
      </w:r>
    </w:p>
    <w:p w:rsidR="00000000" w:rsidDel="00000000" w:rsidP="00000000" w:rsidRDefault="00000000" w:rsidRPr="00000000" w14:paraId="00000041">
      <w:pPr>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be entitled to include a reverse auction in the Further Competition Procedure in accordance with the rules laid down by the Buyer and the Regulations.</w:t>
      </w:r>
    </w:p>
    <w:p w:rsidR="00000000" w:rsidDel="00000000" w:rsidP="00000000" w:rsidRDefault="00000000" w:rsidRPr="00000000" w14:paraId="00000042">
      <w:pPr>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Where the Buyer wishes to undertake an electronic reverse auction, where Suppliers compete in real time by bidding as the auction unfolds (</w:t>
      </w:r>
      <w:r w:rsidDel="00000000" w:rsidR="00000000" w:rsidRPr="00000000">
        <w:rPr>
          <w:rFonts w:ascii="Arial" w:cs="Arial" w:eastAsia="Arial" w:hAnsi="Arial"/>
          <w:b w:val="1"/>
          <w:color w:val="000000"/>
          <w:sz w:val="24"/>
          <w:szCs w:val="24"/>
          <w:rtl w:val="0"/>
        </w:rPr>
        <w:t xml:space="preserve">"Electronic Reverse Auction"</w:t>
      </w:r>
      <w:r w:rsidDel="00000000" w:rsidR="00000000" w:rsidRPr="00000000">
        <w:rPr>
          <w:rFonts w:ascii="Arial" w:cs="Arial" w:eastAsia="Arial" w:hAnsi="Arial"/>
          <w:color w:val="000000"/>
          <w:sz w:val="24"/>
          <w:szCs w:val="24"/>
          <w:rtl w:val="0"/>
        </w:rPr>
        <w:t xml:space="preserve">) then before undertaking it, the Buyer will make an initial full evaluation of all tenders received in response to its Statement of Requirements. The Buyer will then invite to the Electronic Reverse Auction only those tenders that are admissible in accordance with the Regulations. The invitation shall be accompanied by the outcome of the full initial evaluation of the relevant tenders.</w:t>
      </w:r>
    </w:p>
    <w:p w:rsidR="00000000" w:rsidDel="00000000" w:rsidP="00000000" w:rsidRDefault="00000000" w:rsidRPr="00000000" w14:paraId="00000043">
      <w:pPr>
        <w:keepNext w:val="1"/>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will inform the Suppliers of the specification for the Electronic Reverse Auction which shall include:</w:t>
      </w:r>
    </w:p>
    <w:p w:rsidR="00000000" w:rsidDel="00000000" w:rsidP="00000000" w:rsidRDefault="00000000" w:rsidRPr="00000000" w14:paraId="00000044">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to be provided at auction, which must be expressed in figures or percentages of the specified quantifiable features;</w:t>
      </w:r>
    </w:p>
    <w:p w:rsidR="00000000" w:rsidDel="00000000" w:rsidP="00000000" w:rsidRDefault="00000000" w:rsidRPr="00000000" w14:paraId="00000045">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mathematical formula to be used to determine automatic ranking of bids on the basis of new prices and/or new values submitted;  </w:t>
      </w:r>
    </w:p>
    <w:p w:rsidR="00000000" w:rsidDel="00000000" w:rsidP="00000000" w:rsidRDefault="00000000" w:rsidRPr="00000000" w14:paraId="00000046">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limits on the values which may be submitted;</w:t>
      </w:r>
    </w:p>
    <w:p w:rsidR="00000000" w:rsidDel="00000000" w:rsidP="00000000" w:rsidRDefault="00000000" w:rsidRPr="00000000" w14:paraId="00000047">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any information which will be made available to Suppliers in the course of the Electronic Reverse Auction, and when it will be made available to them;</w:t>
      </w:r>
    </w:p>
    <w:p w:rsidR="00000000" w:rsidDel="00000000" w:rsidP="00000000" w:rsidRDefault="00000000" w:rsidRPr="00000000" w14:paraId="00000048">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the conditions under which Suppliers will be able to bid and, in particular, the minimum differences which will, where appropriate, be required when bidding;</w:t>
      </w:r>
    </w:p>
    <w:p w:rsidR="00000000" w:rsidDel="00000000" w:rsidP="00000000" w:rsidRDefault="00000000" w:rsidRPr="00000000" w14:paraId="00000049">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information concerning the electronic equipment used and the arrangements and technical specification for connection;</w:t>
      </w:r>
    </w:p>
    <w:p w:rsidR="00000000" w:rsidDel="00000000" w:rsidP="00000000" w:rsidRDefault="00000000" w:rsidRPr="00000000" w14:paraId="0000004A">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7.5, the date and time of the start of the Electronic Reverse Auction; and</w:t>
      </w:r>
    </w:p>
    <w:p w:rsidR="00000000" w:rsidDel="00000000" w:rsidP="00000000" w:rsidRDefault="00000000" w:rsidRPr="00000000" w14:paraId="0000004B">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when and how the Electronic Reverse Auction will close.</w:t>
      </w:r>
    </w:p>
    <w:p w:rsidR="00000000" w:rsidDel="00000000" w:rsidP="00000000" w:rsidRDefault="00000000" w:rsidRPr="00000000" w14:paraId="0000004C">
      <w:pPr>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The Electronic Reverse Auction may not start sooner than two (2) Working Days after the date on which the specification for the Electronic Reverse Auction has been issued.</w:t>
      </w:r>
    </w:p>
    <w:p w:rsidR="00000000" w:rsidDel="00000000" w:rsidP="00000000" w:rsidRDefault="00000000" w:rsidRPr="00000000" w14:paraId="0000004D">
      <w:pPr>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Throughout each phase of the Electronic Reverse Auction the Buyer will communicate to all Suppliers sufficient information to enable them to ascertain their relative ranking.</w:t>
      </w:r>
    </w:p>
    <w:p w:rsidR="00000000" w:rsidDel="00000000" w:rsidP="00000000" w:rsidRDefault="00000000" w:rsidRPr="00000000" w14:paraId="0000004E">
      <w:pPr>
        <w:keepNext w:val="1"/>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acknowledges and agrees that:</w:t>
      </w:r>
    </w:p>
    <w:p w:rsidR="00000000" w:rsidDel="00000000" w:rsidP="00000000" w:rsidRDefault="00000000" w:rsidRPr="00000000" w14:paraId="0000004F">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its officers, servants, agents, group companies, assignees and customers (including CCS) do not guarantee that its access to the Electronic Reverse Auction will be uninterrupted or error-free;</w:t>
      </w:r>
    </w:p>
    <w:p w:rsidR="00000000" w:rsidDel="00000000" w:rsidP="00000000" w:rsidRDefault="00000000" w:rsidRPr="00000000" w14:paraId="00000050">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access to the Electronic Reverse Auction may occasionally be restricted to allow for repairs or maintenance; and</w:t>
      </w:r>
    </w:p>
    <w:p w:rsidR="00000000" w:rsidDel="00000000" w:rsidP="00000000" w:rsidRDefault="00000000" w:rsidRPr="00000000" w14:paraId="00000051">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will comply with all such rules that may be imposed by the Buyer in relation to the operation of the Electronic Reverse Auction.</w:t>
      </w:r>
    </w:p>
    <w:p w:rsidR="00000000" w:rsidDel="00000000" w:rsidP="00000000" w:rsidRDefault="00000000" w:rsidRPr="00000000" w14:paraId="00000052">
      <w:pPr>
        <w:keepNext w:val="1"/>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will close the Electronic Reverse Auction on the basis of:</w:t>
      </w:r>
    </w:p>
    <w:p w:rsidR="00000000" w:rsidDel="00000000" w:rsidP="00000000" w:rsidRDefault="00000000" w:rsidRPr="00000000" w14:paraId="00000053">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date and time fixed in advance;</w:t>
      </w:r>
    </w:p>
    <w:p w:rsidR="00000000" w:rsidDel="00000000" w:rsidP="00000000" w:rsidRDefault="00000000" w:rsidRPr="00000000" w14:paraId="00000054">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no new prices or values meeting the minimum differences required pursuant to Paragraph 7.3 have been received within the prescribed elapsed time period; or</w:t>
      </w:r>
    </w:p>
    <w:p w:rsidR="00000000" w:rsidDel="00000000" w:rsidP="00000000" w:rsidRDefault="00000000" w:rsidRPr="00000000" w14:paraId="00000055">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all the phases have been completed.]</w:t>
      </w:r>
    </w:p>
    <w:p w:rsidR="00000000" w:rsidDel="00000000" w:rsidP="00000000" w:rsidRDefault="00000000" w:rsidRPr="00000000" w14:paraId="00000056">
      <w:pPr>
        <w:keepNext w:val="1"/>
        <w:pageBreakBefore w:val="0"/>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Awarding and creating an Exempt Call-off Contract</w:t>
      </w:r>
    </w:p>
    <w:p w:rsidR="00000000" w:rsidDel="00000000" w:rsidP="00000000" w:rsidRDefault="00000000" w:rsidRPr="00000000" w14:paraId="00000057">
      <w:pPr>
        <w:keepNext w:val="1"/>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1 above shall not apply to an Exempt Buyer.</w:t>
      </w:r>
    </w:p>
    <w:p w:rsidR="00000000" w:rsidDel="00000000" w:rsidP="00000000" w:rsidRDefault="00000000" w:rsidRPr="00000000" w14:paraId="00000058">
      <w:pPr>
        <w:keepNext w:val="1"/>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If a potential Exempt Buyer decides to source Deliverables through this Framework Contract, it will award an Exempt Call-off Contract for Deliverables in accordance with the procedure in this Schedule as modified by this Paragraph 8 and in accordance with any legal requirements applicable to that potential Exempt Buyer.</w:t>
      </w:r>
    </w:p>
    <w:p w:rsidR="00000000" w:rsidDel="00000000" w:rsidP="00000000" w:rsidRDefault="00000000" w:rsidRPr="00000000" w14:paraId="00000059">
      <w:pPr>
        <w:keepNext w:val="1"/>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potential Exempt Buyer may award an Exempt Call-off Contract under this Framework Contract without holding a further competition in accordance with Paragraph 2 above as modified by Paragraph 8.4 below or through a Further Competition Procedure in accordance with Paragraph 3 as modified by Paragraph 8.5 below.</w:t>
      </w:r>
    </w:p>
    <w:p w:rsidR="00000000" w:rsidDel="00000000" w:rsidP="00000000" w:rsidRDefault="00000000" w:rsidRPr="00000000" w14:paraId="0000005A">
      <w:pPr>
        <w:keepNext w:val="1"/>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procedure set out in Paragraph 2 above, if the potential Exempt Buyer can determine that:</w:t>
      </w:r>
    </w:p>
    <w:p w:rsidR="00000000" w:rsidDel="00000000" w:rsidP="00000000" w:rsidRDefault="00000000" w:rsidRPr="00000000" w14:paraId="0000005B">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5C">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accept any required Exempt Procurement Amendments,</w:t>
      </w:r>
    </w:p>
    <w:p w:rsidR="00000000" w:rsidDel="00000000" w:rsidP="00000000" w:rsidRDefault="00000000" w:rsidRPr="00000000" w14:paraId="0000005D">
      <w:pPr>
        <w:pageBreakBefore w:val="0"/>
        <w:widowControl w:val="1"/>
        <w:pBdr>
          <w:top w:space="0" w:sz="0" w:val="nil"/>
          <w:left w:space="0" w:sz="0" w:val="nil"/>
          <w:bottom w:space="0" w:sz="0" w:val="nil"/>
          <w:right w:space="0" w:sz="0" w:val="nil"/>
          <w:between w:space="0" w:sz="0" w:val="nil"/>
        </w:pBdr>
        <w:tabs>
          <w:tab w:val="left" w:leader="none" w:pos="3641"/>
        </w:tabs>
        <w:spacing w:after="120" w:before="120" w:lineRule="auto"/>
        <w:ind w:left="189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Exempt Buyer may award an Exempt Call-off Contract to that Supplier in accordance with Paragraph 6 above.</w:t>
      </w:r>
    </w:p>
    <w:p w:rsidR="00000000" w:rsidDel="00000000" w:rsidP="00000000" w:rsidRDefault="00000000" w:rsidRPr="00000000" w14:paraId="0000005E">
      <w:pPr>
        <w:keepNext w:val="1"/>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potential Exempt Buyer requires the Supplier to develop proposals or a solution in respect of Deliverables, then the potential Exempt Buyer may at its discretion use the procedure set out in Paragraph 3 above as modified by this Paragraph 8.5.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p>
    <w:p w:rsidR="00000000" w:rsidDel="00000000" w:rsidP="00000000" w:rsidRDefault="00000000" w:rsidRPr="00000000" w14:paraId="0000005F">
      <w:pPr>
        <w:keepNext w:val="1"/>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Paragraphs 8.1 to 8.5 above are without prejudice to an Exempt Buyer’s ability to make such further modifications to the Call-Off Procedure as it considers necessary and in accordance with any legal requirements applicable to that potential Exempt Buyer.</w:t>
      </w:r>
    </w:p>
    <w:p w:rsidR="00000000" w:rsidDel="00000000" w:rsidP="00000000" w:rsidRDefault="00000000" w:rsidRPr="00000000" w14:paraId="00000060">
      <w:pPr>
        <w:pageBreakBefore w:val="0"/>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1">
      <w:pPr>
        <w:pageBreakBefore w:val="0"/>
        <w:widowControl w:val="1"/>
        <w:pBdr>
          <w:top w:space="0" w:sz="0" w:val="nil"/>
          <w:left w:space="0" w:sz="0" w:val="nil"/>
          <w:bottom w:space="0" w:sz="0" w:val="nil"/>
          <w:right w:space="0" w:sz="0" w:val="nil"/>
          <w:between w:space="0" w:sz="0" w:val="nil"/>
        </w:pBdr>
        <w:tabs>
          <w:tab w:val="left" w:leader="none" w:pos="3054"/>
        </w:tabs>
        <w:spacing w:after="120" w:before="120" w:lineRule="auto"/>
        <w:ind w:left="936" w:hanging="57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2">
      <w:pPr>
        <w:pageBreakBefore w:val="0"/>
        <w:widowControl w:val="1"/>
        <w:pBdr>
          <w:top w:space="0" w:sz="0" w:val="nil"/>
          <w:left w:space="0" w:sz="0" w:val="nil"/>
          <w:bottom w:space="0" w:sz="0" w:val="nil"/>
          <w:right w:space="0" w:sz="0" w:val="nil"/>
          <w:between w:space="0" w:sz="0" w:val="nil"/>
        </w:pBdr>
        <w:tabs>
          <w:tab w:val="left" w:leader="none" w:pos="3054"/>
        </w:tabs>
        <w:spacing w:after="120" w:before="120" w:lineRule="auto"/>
        <w:ind w:left="936" w:hanging="576"/>
        <w:rPr>
          <w:rFonts w:ascii="Arial" w:cs="Arial" w:eastAsia="Arial" w:hAnsi="Arial"/>
          <w:color w:val="000000"/>
          <w:sz w:val="36"/>
          <w:szCs w:val="36"/>
        </w:rPr>
      </w:pPr>
      <w:r w:rsidDel="00000000" w:rsidR="00000000" w:rsidRPr="00000000">
        <w:rPr>
          <w:rFonts w:ascii="Arial" w:cs="Arial" w:eastAsia="Arial" w:hAnsi="Arial"/>
          <w:b w:val="1"/>
          <w:color w:val="000000"/>
          <w:sz w:val="36"/>
          <w:szCs w:val="36"/>
          <w:rtl w:val="0"/>
        </w:rPr>
        <w:t xml:space="preserve">Part 2: Award Criteria</w:t>
      </w:r>
      <w:r w:rsidDel="00000000" w:rsidR="00000000" w:rsidRPr="00000000">
        <w:rPr>
          <w:rtl w:val="0"/>
        </w:rPr>
      </w:r>
    </w:p>
    <w:p w:rsidR="00000000" w:rsidDel="00000000" w:rsidP="00000000" w:rsidRDefault="00000000" w:rsidRPr="00000000" w14:paraId="00000063">
      <w:pPr>
        <w:pageBreakBefore w:val="0"/>
        <w:widowControl w:val="1"/>
        <w:numPr>
          <w:ilvl w:val="0"/>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Part 2 lays out award criteria for direct award (Annex A) and for further competition (Annex B) in accordance with the Call-Off Procedure.</w:t>
      </w:r>
    </w:p>
    <w:p w:rsidR="00000000" w:rsidDel="00000000" w:rsidP="00000000" w:rsidRDefault="00000000" w:rsidRPr="00000000" w14:paraId="00000064">
      <w:pPr>
        <w:pageBreakBefore w:val="0"/>
        <w:widowControl w:val="1"/>
        <w:numPr>
          <w:ilvl w:val="0"/>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Call-Off Contract may be awarded on the basis </w:t>
      </w:r>
      <w:r w:rsidDel="00000000" w:rsidR="00000000" w:rsidRPr="00000000">
        <w:rPr>
          <w:rFonts w:ascii="Arial" w:cs="Arial" w:eastAsia="Arial" w:hAnsi="Arial"/>
          <w:sz w:val="24"/>
          <w:szCs w:val="24"/>
          <w:rtl w:val="0"/>
        </w:rPr>
        <w:t xml:space="preserve">of the most</w:t>
      </w:r>
      <w:r w:rsidDel="00000000" w:rsidR="00000000" w:rsidRPr="00000000">
        <w:rPr>
          <w:rFonts w:ascii="Arial" w:cs="Arial" w:eastAsia="Arial" w:hAnsi="Arial"/>
          <w:color w:val="000000"/>
          <w:sz w:val="24"/>
          <w:szCs w:val="24"/>
          <w:rtl w:val="0"/>
        </w:rPr>
        <w:t xml:space="preserve"> economically advantageous tender ("MEAT").</w:t>
      </w:r>
      <w:r w:rsidDel="00000000" w:rsidR="00000000" w:rsidRPr="00000000">
        <w:rPr>
          <w:rtl w:val="0"/>
        </w:rPr>
      </w:r>
    </w:p>
    <w:p w:rsidR="00000000" w:rsidDel="00000000" w:rsidP="00000000" w:rsidRDefault="00000000" w:rsidRPr="00000000" w14:paraId="00000065">
      <w:pPr>
        <w:keepNext w:val="1"/>
        <w:pageBreakBefore w:val="0"/>
        <w:widowControl w:val="1"/>
        <w:pBdr>
          <w:top w:space="0" w:sz="0" w:val="nil"/>
          <w:left w:space="0" w:sz="0" w:val="nil"/>
          <w:bottom w:space="0" w:sz="0" w:val="nil"/>
          <w:right w:space="0" w:sz="0" w:val="nil"/>
          <w:between w:space="0" w:sz="0" w:val="nil"/>
        </w:pBdr>
        <w:spacing w:after="240" w:before="240" w:lineRule="auto"/>
        <w:ind w:firstLine="426"/>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Annex A: Direct award criteria</w:t>
      </w:r>
    </w:p>
    <w:p w:rsidR="00000000" w:rsidDel="00000000" w:rsidP="00000000" w:rsidRDefault="00000000" w:rsidRPr="00000000" w14:paraId="00000066">
      <w:pPr>
        <w:pageBreakBefore w:val="0"/>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for direct award of each Call-Off.</w:t>
      </w:r>
    </w:p>
    <w:tbl>
      <w:tblPr>
        <w:tblStyle w:val="Table1"/>
        <w:tblW w:w="9214.0" w:type="dxa"/>
        <w:jc w:val="left"/>
        <w:tblInd w:w="-1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44"/>
        <w:gridCol w:w="5670"/>
        <w:tblGridChange w:id="0">
          <w:tblGrid>
            <w:gridCol w:w="3544"/>
            <w:gridCol w:w="5670"/>
          </w:tblGrid>
        </w:tblGridChange>
      </w:tblGrid>
      <w:tr>
        <w:trPr>
          <w:cantSplit w:val="0"/>
          <w:tblHeader w:val="0"/>
        </w:trPr>
        <w:tc>
          <w:tcPr>
            <w:shd w:fill="e7e6e6" w:val="clear"/>
          </w:tcPr>
          <w:p w:rsidR="00000000" w:rsidDel="00000000" w:rsidP="00000000" w:rsidRDefault="00000000" w:rsidRPr="00000000" w14:paraId="00000067">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Criteria </w:t>
            </w:r>
          </w:p>
        </w:tc>
        <w:tc>
          <w:tcPr>
            <w:shd w:fill="e7e6e6" w:val="clear"/>
          </w:tcPr>
          <w:p w:rsidR="00000000" w:rsidDel="00000000" w:rsidP="00000000" w:rsidRDefault="00000000" w:rsidRPr="00000000" w14:paraId="00000068">
            <w:pPr>
              <w:widowControl w:val="1"/>
              <w:spacing w:after="200" w:before="12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Relative weighting percentage </w:t>
            </w:r>
          </w:p>
          <w:p w:rsidR="00000000" w:rsidDel="00000000" w:rsidP="00000000" w:rsidRDefault="00000000" w:rsidRPr="00000000" w14:paraId="00000069">
            <w:pPr>
              <w:widowControl w:val="1"/>
              <w:spacing w:after="200" w:line="276" w:lineRule="auto"/>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6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1"/>
                <w:sz w:val="24"/>
                <w:szCs w:val="24"/>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Price: </w:t>
            </w:r>
            <w:r w:rsidDel="00000000" w:rsidR="00000000" w:rsidRPr="00000000">
              <w:rPr>
                <w:rtl w:val="0"/>
              </w:rPr>
            </w:r>
          </w:p>
          <w:p w:rsidR="00000000" w:rsidDel="00000000" w:rsidP="00000000" w:rsidRDefault="00000000" w:rsidRPr="00000000" w14:paraId="0000006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life cycle costs, cost effectiveness &amp; price; price and running costs. </w:t>
            </w:r>
            <w:r w:rsidDel="00000000" w:rsidR="00000000" w:rsidRPr="00000000">
              <w:rPr>
                <w:rtl w:val="0"/>
              </w:rPr>
            </w:r>
          </w:p>
          <w:p w:rsidR="00000000" w:rsidDel="00000000" w:rsidP="00000000" w:rsidRDefault="00000000" w:rsidRPr="00000000" w14:paraId="0000006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sz w:val="24"/>
                <w:szCs w:val="24"/>
                <w:highlight w:val="yellow"/>
              </w:rPr>
            </w:pPr>
            <w:r w:rsidDel="00000000" w:rsidR="00000000" w:rsidRPr="00000000">
              <w:rPr>
                <w:rtl w:val="0"/>
              </w:rPr>
            </w:r>
          </w:p>
        </w:tc>
        <w:tc>
          <w:tcPr/>
          <w:p w:rsidR="00000000" w:rsidDel="00000000" w:rsidP="00000000" w:rsidRDefault="00000000" w:rsidRPr="00000000" w14:paraId="0000006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10-90%</w:t>
            </w:r>
            <w:r w:rsidDel="00000000" w:rsidR="00000000" w:rsidRPr="00000000">
              <w:rPr>
                <w:rtl w:val="0"/>
              </w:rPr>
            </w:r>
          </w:p>
        </w:tc>
      </w:tr>
      <w:tr>
        <w:trPr>
          <w:cantSplit w:val="0"/>
          <w:tblHeader w:val="0"/>
        </w:trPr>
        <w:tc>
          <w:tcPr/>
          <w:p w:rsidR="00000000" w:rsidDel="00000000" w:rsidP="00000000" w:rsidRDefault="00000000" w:rsidRPr="00000000" w14:paraId="0000006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Quality</w:t>
            </w:r>
            <w:r w:rsidDel="00000000" w:rsidR="00000000" w:rsidRPr="00000000">
              <w:rPr>
                <w:rFonts w:ascii="Arial" w:cs="Arial" w:eastAsia="Arial" w:hAnsi="Arial"/>
                <w:b w:val="1"/>
                <w:i w:val="0"/>
                <w:smallCaps w:val="0"/>
                <w:strike w:val="0"/>
                <w:color w:val="000000"/>
                <w:sz w:val="24"/>
                <w:szCs w:val="24"/>
                <w:u w:val="none"/>
                <w:vertAlign w:val="baseline"/>
                <w:rtl w:val="0"/>
              </w:rPr>
              <w:t xml:space="preserve"> </w:t>
            </w:r>
          </w:p>
          <w:p w:rsidR="00000000" w:rsidDel="00000000" w:rsidP="00000000" w:rsidRDefault="00000000" w:rsidRPr="00000000" w14:paraId="0000006F">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Such as</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delivery time, </w:t>
            </w:r>
            <w:r w:rsidDel="00000000" w:rsidR="00000000" w:rsidRPr="00000000">
              <w:rPr>
                <w:rFonts w:ascii="Arial" w:cs="Arial" w:eastAsia="Arial" w:hAnsi="Arial"/>
                <w:sz w:val="24"/>
                <w:szCs w:val="24"/>
                <w:rtl w:val="0"/>
              </w:rPr>
              <w:t xml:space="preserve">account management. If applying social value please adjust accordingly. </w:t>
            </w:r>
            <w:r w:rsidDel="00000000" w:rsidR="00000000" w:rsidRPr="00000000">
              <w:rPr>
                <w:rtl w:val="0"/>
              </w:rPr>
            </w:r>
          </w:p>
        </w:tc>
        <w:tc>
          <w:tcPr/>
          <w:p w:rsidR="00000000" w:rsidDel="00000000" w:rsidP="00000000" w:rsidRDefault="00000000" w:rsidRPr="00000000" w14:paraId="00000070">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10-90%</w:t>
            </w:r>
            <w:r w:rsidDel="00000000" w:rsidR="00000000" w:rsidRPr="00000000">
              <w:rPr>
                <w:rtl w:val="0"/>
              </w:rPr>
            </w:r>
          </w:p>
        </w:tc>
      </w:tr>
    </w:tbl>
    <w:p w:rsidR="00000000" w:rsidDel="00000000" w:rsidP="00000000" w:rsidRDefault="00000000" w:rsidRPr="00000000" w14:paraId="00000071">
      <w:pPr>
        <w:pageBreakBefore w:val="0"/>
        <w:widowControl w:val="1"/>
        <w:pBdr>
          <w:top w:space="0" w:sz="0" w:val="nil"/>
          <w:left w:space="0" w:sz="0" w:val="nil"/>
          <w:bottom w:space="0" w:sz="0" w:val="nil"/>
          <w:right w:space="0" w:sz="0" w:val="nil"/>
          <w:between w:space="0" w:sz="0" w:val="nil"/>
        </w:pBdr>
        <w:ind w:left="1080" w:firstLine="0"/>
        <w:jc w:val="both"/>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72">
      <w:pPr>
        <w:keepNext w:val="1"/>
        <w:pageBreakBefore w:val="0"/>
        <w:widowControl w:val="1"/>
        <w:pBdr>
          <w:top w:space="0" w:sz="0" w:val="nil"/>
          <w:left w:space="0" w:sz="0" w:val="nil"/>
          <w:bottom w:space="0" w:sz="0" w:val="nil"/>
          <w:right w:space="0" w:sz="0" w:val="nil"/>
          <w:between w:space="0" w:sz="0" w:val="nil"/>
        </w:pBdr>
        <w:spacing w:after="240" w:before="240" w:lineRule="auto"/>
        <w:rPr>
          <w:rFonts w:ascii="Arial" w:cs="Arial" w:eastAsia="Arial" w:hAnsi="Arial"/>
          <w:sz w:val="24"/>
          <w:szCs w:val="24"/>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Annex B: Further Competition Award Criteria</w:t>
      </w:r>
      <w:r w:rsidDel="00000000" w:rsidR="00000000" w:rsidRPr="00000000">
        <w:rPr>
          <w:rtl w:val="0"/>
        </w:rPr>
      </w:r>
    </w:p>
    <w:tbl>
      <w:tblPr>
        <w:tblStyle w:val="Table2"/>
        <w:tblW w:w="9015.0"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0"/>
        <w:gridCol w:w="4515"/>
        <w:tblGridChange w:id="0">
          <w:tblGrid>
            <w:gridCol w:w="4500"/>
            <w:gridCol w:w="4515"/>
          </w:tblGrid>
        </w:tblGridChange>
      </w:tblGrid>
      <w:tr>
        <w:trPr>
          <w:cantSplit w:val="0"/>
          <w:trHeight w:val="240" w:hRule="atLeast"/>
          <w:tblHeader w:val="0"/>
        </w:trPr>
        <w:tc>
          <w:tcPr>
            <w:tcBorders>
              <w:top w:color="000000" w:space="0" w:sz="8" w:val="single"/>
              <w:left w:color="000000" w:space="0" w:sz="8" w:val="single"/>
              <w:bottom w:color="000000" w:space="0" w:sz="8" w:val="single"/>
              <w:right w:color="000000" w:space="0" w:sz="8" w:val="single"/>
            </w:tcBorders>
            <w:shd w:fill="e7e6e6" w:val="clear"/>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120" w:before="120" w:line="240" w:lineRule="auto"/>
              <w:ind w:left="0" w:right="0" w:firstLine="0"/>
              <w:jc w:val="both"/>
              <w:rPr>
                <w:rFonts w:ascii="Arial" w:cs="Arial" w:eastAsia="Arial" w:hAnsi="Arial"/>
                <w:sz w:val="24"/>
                <w:szCs w:val="24"/>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Criteria</w:t>
            </w:r>
            <w:r w:rsidDel="00000000" w:rsidR="00000000" w:rsidRPr="00000000">
              <w:rPr>
                <w:rFonts w:ascii="Arial" w:cs="Arial" w:eastAsia="Arial" w:hAnsi="Arial"/>
                <w:sz w:val="24"/>
                <w:szCs w:val="24"/>
                <w:rtl w:val="0"/>
              </w:rPr>
              <w:t xml:space="preserve">:</w:t>
            </w:r>
          </w:p>
        </w:tc>
        <w:tc>
          <w:tcPr>
            <w:tcBorders>
              <w:top w:color="000000" w:space="0" w:sz="8" w:val="single"/>
              <w:left w:color="000000" w:space="0" w:sz="8" w:val="single"/>
              <w:bottom w:color="000000" w:space="0" w:sz="8" w:val="single"/>
              <w:right w:color="000000" w:space="0" w:sz="8" w:val="single"/>
            </w:tcBorders>
            <w:shd w:fill="e7e6e6" w:val="clear"/>
          </w:tcPr>
          <w:p w:rsidR="00000000" w:rsidDel="00000000" w:rsidP="00000000" w:rsidRDefault="00000000" w:rsidRPr="00000000" w14:paraId="00000074">
            <w:pPr>
              <w:widowControl w:val="1"/>
              <w:spacing w:after="200" w:before="120" w:line="276" w:lineRule="auto"/>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Relative weighting percentage:</w:t>
            </w:r>
            <w:r w:rsidDel="00000000" w:rsidR="00000000" w:rsidRPr="00000000">
              <w:rPr>
                <w:rtl w:val="0"/>
              </w:rPr>
            </w:r>
          </w:p>
        </w:tc>
      </w:tr>
      <w:tr>
        <w:trPr>
          <w:cantSplit w:val="0"/>
          <w:trHeight w:val="24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75">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Quality:</w:t>
            </w:r>
            <w:r w:rsidDel="00000000" w:rsidR="00000000" w:rsidRPr="00000000">
              <w:rPr>
                <w:rtl w:val="0"/>
              </w:rPr>
            </w:r>
          </w:p>
          <w:p w:rsidR="00000000" w:rsidDel="00000000" w:rsidP="00000000" w:rsidRDefault="00000000" w:rsidRPr="00000000" w14:paraId="00000076">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0" w:afterAutospacing="0" w:before="120" w:line="240" w:lineRule="auto"/>
              <w:ind w:left="720" w:right="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Service Delivery</w:t>
            </w:r>
            <w:r w:rsidDel="00000000" w:rsidR="00000000" w:rsidRPr="00000000">
              <w:rPr>
                <w:rtl w:val="0"/>
              </w:rPr>
            </w:r>
          </w:p>
          <w:p w:rsidR="00000000" w:rsidDel="00000000" w:rsidP="00000000" w:rsidRDefault="00000000" w:rsidRPr="00000000" w14:paraId="00000077">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sz w:val="24"/>
                <w:szCs w:val="24"/>
                <w:rtl w:val="0"/>
              </w:rPr>
              <w:t xml:space="preserve">Booking Process</w:t>
            </w:r>
            <w:r w:rsidDel="00000000" w:rsidR="00000000" w:rsidRPr="00000000">
              <w:rPr>
                <w:rtl w:val="0"/>
              </w:rPr>
            </w:r>
          </w:p>
          <w:p w:rsidR="00000000" w:rsidDel="00000000" w:rsidP="00000000" w:rsidRDefault="00000000" w:rsidRPr="00000000" w14:paraId="00000078">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sz w:val="24"/>
                <w:szCs w:val="24"/>
                <w:rtl w:val="0"/>
              </w:rPr>
              <w:t xml:space="preserve">Recruitment</w:t>
            </w:r>
            <w:r w:rsidDel="00000000" w:rsidR="00000000" w:rsidRPr="00000000">
              <w:rPr>
                <w:rtl w:val="0"/>
              </w:rPr>
            </w:r>
          </w:p>
          <w:p w:rsidR="00000000" w:rsidDel="00000000" w:rsidP="00000000" w:rsidRDefault="00000000" w:rsidRPr="00000000" w14:paraId="00000079">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A">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120.0" w:type="dxa"/>
              <w:bottom w:w="0.0" w:type="dxa"/>
              <w:right w:w="120.0" w:type="dxa"/>
            </w:tcMar>
            <w:vAlign w:val="top"/>
          </w:tcPr>
          <w:p w:rsidR="00000000" w:rsidDel="00000000" w:rsidP="00000000" w:rsidRDefault="00000000" w:rsidRPr="00000000" w14:paraId="0000007B">
            <w:pPr>
              <w:widowControl w:val="1"/>
              <w:tabs>
                <w:tab w:val="left" w:leader="none" w:pos="851"/>
              </w:tabs>
              <w:spacing w:after="120" w:before="240" w:lineRule="auto"/>
              <w:ind w:left="-1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60-90% </w:t>
            </w:r>
          </w:p>
          <w:p w:rsidR="00000000" w:rsidDel="00000000" w:rsidP="00000000" w:rsidRDefault="00000000" w:rsidRPr="00000000" w14:paraId="0000007C">
            <w:pPr>
              <w:widowControl w:val="1"/>
              <w:tabs>
                <w:tab w:val="left" w:leader="none" w:pos="851"/>
              </w:tabs>
              <w:spacing w:after="120" w:before="240" w:lineRule="auto"/>
              <w:ind w:left="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weighting for each sub criteria can range between (60% to 90%). The total sub criteria weighting should total your overall Quality weighting and must be a minimum of 10% and a maximum of 90%. </w:t>
            </w:r>
          </w:p>
        </w:tc>
      </w:tr>
      <w:tr>
        <w:trPr>
          <w:cantSplit w:val="0"/>
          <w:trHeight w:val="24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7D">
            <w:pPr>
              <w:widowControl w:val="1"/>
              <w:tabs>
                <w:tab w:val="left" w:leader="none"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Price</w:t>
            </w:r>
          </w:p>
        </w:tc>
        <w:tc>
          <w:tcPr>
            <w:tcBorders>
              <w:top w:color="000000" w:space="0" w:sz="8" w:val="single"/>
              <w:left w:color="000000" w:space="0" w:sz="8" w:val="single"/>
              <w:bottom w:color="000000" w:space="0" w:sz="8" w:val="single"/>
              <w:right w:color="000000" w:space="0" w:sz="8" w:val="single"/>
            </w:tcBorders>
            <w:tcMar>
              <w:top w:w="0.0" w:type="dxa"/>
              <w:left w:w="120.0" w:type="dxa"/>
              <w:bottom w:w="0.0" w:type="dxa"/>
              <w:right w:w="120.0" w:type="dxa"/>
            </w:tcMar>
            <w:vAlign w:val="top"/>
          </w:tcPr>
          <w:p w:rsidR="00000000" w:rsidDel="00000000" w:rsidP="00000000" w:rsidRDefault="00000000" w:rsidRPr="00000000" w14:paraId="0000007E">
            <w:pPr>
              <w:widowControl w:val="1"/>
              <w:tabs>
                <w:tab w:val="left" w:leader="none" w:pos="851"/>
              </w:tabs>
              <w:spacing w:after="120" w:before="240" w:lineRule="auto"/>
              <w:ind w:left="-1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10- 30%</w:t>
            </w:r>
          </w:p>
        </w:tc>
      </w:tr>
      <w:tr>
        <w:trPr>
          <w:cantSplit w:val="0"/>
          <w:trHeight w:val="24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7F">
            <w:pPr>
              <w:widowControl w:val="1"/>
              <w:tabs>
                <w:tab w:val="left" w:leader="none"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w:t>
            </w:r>
          </w:p>
        </w:tc>
        <w:tc>
          <w:tcPr>
            <w:tcBorders>
              <w:top w:color="000000" w:space="0" w:sz="8" w:val="single"/>
              <w:left w:color="000000" w:space="0" w:sz="8" w:val="single"/>
              <w:bottom w:color="000000" w:space="0" w:sz="8" w:val="single"/>
              <w:right w:color="000000" w:space="0" w:sz="8" w:val="single"/>
            </w:tcBorders>
            <w:tcMar>
              <w:top w:w="0.0" w:type="dxa"/>
              <w:left w:w="120.0" w:type="dxa"/>
              <w:bottom w:w="0.0" w:type="dxa"/>
              <w:right w:w="120.0" w:type="dxa"/>
            </w:tcMar>
            <w:vAlign w:val="top"/>
          </w:tcPr>
          <w:p w:rsidR="00000000" w:rsidDel="00000000" w:rsidP="00000000" w:rsidRDefault="00000000" w:rsidRPr="00000000" w14:paraId="00000080">
            <w:pPr>
              <w:widowControl w:val="1"/>
              <w:tabs>
                <w:tab w:val="left" w:leader="none" w:pos="851"/>
              </w:tabs>
              <w:spacing w:after="120" w:before="240" w:lineRule="auto"/>
              <w:ind w:left="-1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0-10%</w:t>
            </w:r>
          </w:p>
          <w:p w:rsidR="00000000" w:rsidDel="00000000" w:rsidP="00000000" w:rsidRDefault="00000000" w:rsidRPr="00000000" w14:paraId="00000081">
            <w:pPr>
              <w:widowControl w:val="1"/>
              <w:tabs>
                <w:tab w:val="left" w:leader="none" w:pos="851"/>
              </w:tabs>
              <w:spacing w:after="120" w:befor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Central Government Departments should comply with procurement policy note 06/20 and include a minimum of 10% weighting for social value</w:t>
            </w:r>
          </w:p>
        </w:tc>
      </w:tr>
    </w:tbl>
    <w:p w:rsidR="00000000" w:rsidDel="00000000" w:rsidP="00000000" w:rsidRDefault="00000000" w:rsidRPr="00000000" w14:paraId="00000082">
      <w:pPr>
        <w:pageBreakBefore w:val="0"/>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3">
      <w:pPr>
        <w:pageBreakBefore w:val="0"/>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84">
      <w:pPr>
        <w:pageBreakBefore w:val="0"/>
        <w:widowControl w:val="1"/>
        <w:pBdr>
          <w:top w:space="0" w:sz="0" w:val="nil"/>
          <w:left w:space="0" w:sz="0" w:val="nil"/>
          <w:bottom w:space="0" w:sz="0" w:val="nil"/>
          <w:right w:space="0" w:sz="0" w:val="nil"/>
          <w:between w:space="0" w:sz="0" w:val="nil"/>
        </w:pBdr>
        <w:jc w:val="both"/>
        <w:rPr>
          <w:rFonts w:ascii="Arial" w:cs="Arial" w:eastAsia="Arial" w:hAnsi="Arial"/>
          <w:color w:val="ffffff"/>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Arial Bold"/>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RM6302 - Language Services</w:t>
      <w:tab/>
      <w:t xml:space="preserve">                                           </w:t>
    </w:r>
  </w:p>
  <w:p w:rsidR="00000000" w:rsidDel="00000000" w:rsidP="00000000" w:rsidRDefault="00000000" w:rsidRPr="00000000" w14:paraId="0000008C">
    <w:pPr>
      <w:widowControl w:val="1"/>
      <w:pBdr>
        <w:top w:space="0" w:sz="0" w:val="nil"/>
        <w:left w:space="0" w:sz="0" w:val="nil"/>
        <w:bottom w:space="0" w:sz="0" w:val="nil"/>
        <w:right w:space="0" w:sz="0" w:val="nil"/>
        <w:between w:space="0" w:sz="0" w:val="nil"/>
      </w:pBdr>
      <w:tabs>
        <w:tab w:val="center" w:leader="none" w:pos="4513"/>
        <w:tab w:val="right" w:leader="none" w:pos="902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D">
    <w:pPr>
      <w:tabs>
        <w:tab w:val="left" w:leader="none" w:pos="720"/>
        <w:tab w:val="left" w:leader="none" w:pos="1440"/>
        <w:tab w:val="left" w:leader="none" w:pos="2160"/>
        <w:tab w:val="left" w:leader="none" w:pos="2880"/>
        <w:tab w:val="left" w:leader="none" w:pos="3600"/>
        <w:tab w:val="center" w:leader="none" w:pos="4513"/>
      </w:tabs>
      <w:rPr>
        <w:rFonts w:ascii="Arial" w:cs="Arial" w:eastAsia="Arial" w:hAnsi="Arial"/>
        <w:sz w:val="20"/>
        <w:szCs w:val="20"/>
      </w:rPr>
    </w:pPr>
    <w:bookmarkStart w:colFirst="0" w:colLast="0" w:name="_heading=h.gjdgxs" w:id="12"/>
    <w:bookmarkEnd w:id="12"/>
    <w:r w:rsidDel="00000000" w:rsidR="00000000" w:rsidRPr="00000000">
      <w:rPr>
        <w:rFonts w:ascii="Arial" w:cs="Arial" w:eastAsia="Arial" w:hAnsi="Arial"/>
        <w:sz w:val="20"/>
        <w:szCs w:val="20"/>
        <w:rtl w:val="0"/>
      </w:rPr>
      <w:t xml:space="preserve">Model Version : v3.3</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p w:rsidR="00000000" w:rsidDel="00000000" w:rsidP="00000000" w:rsidRDefault="00000000" w:rsidRPr="00000000" w14:paraId="00000090">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091">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2">
    <w:pPr>
      <w:tabs>
        <w:tab w:val="left" w:leader="none" w:pos="720"/>
        <w:tab w:val="left" w:leader="none" w:pos="1440"/>
        <w:tab w:val="left" w:leader="none" w:pos="2160"/>
        <w:tab w:val="left" w:leader="none" w:pos="2880"/>
        <w:tab w:val="left" w:leader="none" w:pos="3600"/>
        <w:tab w:val="center" w:leader="none"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Framework Schedule 7 (Call-Off Award Procedure)</w:t>
    </w:r>
  </w:p>
  <w:p w:rsidR="00000000" w:rsidDel="00000000" w:rsidP="00000000" w:rsidRDefault="00000000" w:rsidRPr="00000000" w14:paraId="00000086">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p w:rsidR="00000000" w:rsidDel="00000000" w:rsidP="00000000" w:rsidRDefault="00000000" w:rsidRPr="00000000" w14:paraId="00000087">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8">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7 (Call-Off Award Procedure)</w:t>
    </w:r>
  </w:p>
  <w:p w:rsidR="00000000" w:rsidDel="00000000" w:rsidP="00000000" w:rsidRDefault="00000000" w:rsidRPr="00000000" w14:paraId="00000089">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32FDD"/>
    <w:pPr>
      <w:keepNext w:val="1"/>
      <w:keepLines w:val="1"/>
      <w:spacing w:before="240"/>
      <w:outlineLvl w:val="0"/>
    </w:pPr>
    <w:rPr>
      <w:rFonts w:asciiTheme="majorHAnsi" w:cstheme="majorBidi" w:eastAsiaTheme="majorEastAsia" w:hAnsiTheme="majorHAnsi"/>
      <w:color w:val="2f5496" w:themeColor="accent1" w:themeShade="0000BF"/>
      <w:sz w:val="32"/>
      <w:szCs w:val="32"/>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tandard" w:customStyle="1">
    <w:name w:val="Standard"/>
    <w:pPr>
      <w:widowControl w:val="1"/>
      <w:spacing w:after="240"/>
      <w:jc w:val="both"/>
    </w:pPr>
    <w:rPr>
      <w:rFonts w:cs="Arial" w:eastAsia="Times New Roman"/>
    </w:rPr>
  </w:style>
  <w:style w:type="paragraph" w:styleId="Heading" w:customStyle="1">
    <w:name w:val="Heading"/>
    <w:basedOn w:val="Standard"/>
    <w:next w:val="Textbody"/>
    <w:pPr>
      <w:keepNext w:val="1"/>
      <w:spacing w:after="120" w:before="240"/>
    </w:pPr>
    <w:rPr>
      <w:rFonts w:ascii="Liberation Sans" w:cs="Arial Unicode MS" w:eastAsia="Arial Unicode MS" w:hAnsi="Liberation Sans"/>
      <w:sz w:val="28"/>
      <w:szCs w:val="28"/>
    </w:rPr>
  </w:style>
  <w:style w:type="paragraph" w:styleId="Textbody" w:customStyle="1">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val="1"/>
      <w:spacing w:after="120" w:before="120"/>
    </w:pPr>
    <w:rPr>
      <w:i w:val="1"/>
      <w:iCs w:val="1"/>
      <w:sz w:val="24"/>
      <w:szCs w:val="24"/>
    </w:rPr>
  </w:style>
  <w:style w:type="paragraph" w:styleId="Index" w:customStyle="1">
    <w:name w:val="Index"/>
    <w:basedOn w:val="Standard"/>
    <w:pPr>
      <w:suppressLineNumbers w:val="1"/>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styleId="MarginText" w:customStyle="1">
    <w:name w:val="Margin Text"/>
    <w:basedOn w:val="Standard"/>
    <w:pPr>
      <w:keepNext w:val="1"/>
      <w:overflowPunct w:val="0"/>
      <w:spacing w:after="120" w:before="240"/>
      <w:ind w:left="142"/>
    </w:pPr>
    <w:rPr>
      <w:rFonts w:cs="Times New Roman" w:eastAsia="STZhongsong"/>
      <w:szCs w:val="18"/>
      <w:lang w:eastAsia="zh-CN"/>
    </w:rPr>
  </w:style>
  <w:style w:type="paragraph" w:styleId="GPSL1CLAUSEHEADING" w:customStyle="1">
    <w:name w:val="GPS L1 CLAUSE HEADING"/>
    <w:basedOn w:val="Standard"/>
    <w:next w:val="Standard"/>
    <w:pPr>
      <w:tabs>
        <w:tab w:val="left" w:pos="142"/>
      </w:tabs>
      <w:overflowPunct w:val="0"/>
      <w:spacing w:before="120"/>
      <w:outlineLvl w:val="1"/>
    </w:pPr>
    <w:rPr>
      <w:rFonts w:eastAsia="STZhongsong"/>
      <w:b w:val="1"/>
      <w:caps w:val="1"/>
      <w:lang w:eastAsia="zh-CN"/>
    </w:rPr>
  </w:style>
  <w:style w:type="paragraph" w:styleId="GPSL3numberedclause" w:customStyle="1">
    <w:name w:val="GPS L3 numbered clause"/>
    <w:basedOn w:val="Standard"/>
    <w:pPr>
      <w:tabs>
        <w:tab w:val="left" w:pos="3641"/>
      </w:tabs>
      <w:overflowPunct w:val="0"/>
      <w:spacing w:after="120" w:before="120"/>
      <w:ind w:left="1656"/>
    </w:pPr>
    <w:rPr>
      <w:lang w:eastAsia="zh-CN"/>
    </w:rPr>
  </w:style>
  <w:style w:type="paragraph" w:styleId="GPSL4numberedclause" w:customStyle="1">
    <w:name w:val="GPS L4 numbered clause"/>
    <w:basedOn w:val="GPSL3numberedclause"/>
    <w:pPr>
      <w:tabs>
        <w:tab w:val="clear" w:pos="3641"/>
      </w:tabs>
      <w:ind w:left="2592" w:hanging="936"/>
    </w:pPr>
  </w:style>
  <w:style w:type="paragraph" w:styleId="GPSL5numberedclause" w:customStyle="1">
    <w:name w:val="GPS L5 numbered clause"/>
    <w:basedOn w:val="GPSL4numberedclause"/>
    <w:pPr>
      <w:tabs>
        <w:tab w:val="left" w:pos="6238"/>
      </w:tabs>
      <w:ind w:left="3119" w:hanging="567"/>
    </w:pPr>
  </w:style>
  <w:style w:type="paragraph" w:styleId="GPSL2NumberedBoldHeading" w:customStyle="1">
    <w:name w:val="GPS L2 Numbered Bold Heading"/>
    <w:basedOn w:val="Standard"/>
    <w:pPr>
      <w:tabs>
        <w:tab w:val="left" w:pos="3054"/>
      </w:tabs>
      <w:overflowPunct w:val="0"/>
      <w:spacing w:after="120" w:before="120"/>
      <w:ind w:left="1920"/>
    </w:pPr>
    <w:rPr>
      <w:b w:val="1"/>
      <w:lang w:eastAsia="zh-CN"/>
    </w:rPr>
  </w:style>
  <w:style w:type="paragraph" w:styleId="GPSL6numbered" w:customStyle="1">
    <w:name w:val="GPS L6 numbered"/>
    <w:basedOn w:val="GPSL5numberedclause"/>
    <w:pPr>
      <w:tabs>
        <w:tab w:val="clear" w:pos="6238"/>
        <w:tab w:val="left" w:pos="4046"/>
        <w:tab w:val="left" w:pos="7372"/>
      </w:tabs>
      <w:ind w:left="3686"/>
    </w:pPr>
  </w:style>
  <w:style w:type="paragraph" w:styleId="GPSL1Guidance" w:customStyle="1">
    <w:name w:val="GPS L1 Guidance"/>
    <w:basedOn w:val="Standard"/>
    <w:pPr>
      <w:spacing w:after="120" w:before="240"/>
      <w:ind w:left="426"/>
    </w:pPr>
    <w:rPr>
      <w:b w:val="1"/>
      <w:i w:val="1"/>
    </w:rPr>
  </w:style>
  <w:style w:type="paragraph" w:styleId="GPSL1SCHEDULEHeading" w:customStyle="1">
    <w:name w:val="GPS L1 SCHEDULE Heading"/>
    <w:basedOn w:val="GPSL1CLAUSEHEADING"/>
    <w:pPr>
      <w:tabs>
        <w:tab w:val="clear" w:pos="142"/>
      </w:tabs>
    </w:pPr>
  </w:style>
  <w:style w:type="paragraph" w:styleId="GPSmacrorestart" w:customStyle="1">
    <w:name w:val="GPS macro restart"/>
    <w:basedOn w:val="Standard"/>
    <w:qFormat w:val="1"/>
    <w:pPr>
      <w:spacing w:after="0"/>
    </w:pPr>
    <w:rPr>
      <w:color w:val="ffffff"/>
      <w:sz w:val="16"/>
      <w:szCs w:val="16"/>
    </w:rPr>
  </w:style>
  <w:style w:type="paragraph" w:styleId="GPSSchTitleandNumber" w:customStyle="1">
    <w:name w:val="GPS Sch Title and Number"/>
    <w:basedOn w:val="Standard"/>
    <w:pPr>
      <w:keepNext w:val="1"/>
      <w:overflowPunct w:val="0"/>
      <w:ind w:firstLine="426"/>
      <w:jc w:val="center"/>
      <w:outlineLvl w:val="0"/>
    </w:pPr>
    <w:rPr>
      <w:rFonts w:ascii="Arial Bold" w:cs="Times New Roman" w:eastAsia="STZhongsong" w:hAnsi="Arial Bold"/>
      <w:b w:val="1"/>
      <w:caps w:val="1"/>
      <w:lang w:eastAsia="zh-CN"/>
    </w:rPr>
  </w:style>
  <w:style w:type="paragraph" w:styleId="GPSSchPart" w:customStyle="1">
    <w:name w:val="GPS Sch Part"/>
    <w:basedOn w:val="Standard"/>
    <w:qFormat w:val="1"/>
    <w:pPr>
      <w:keepNext w:val="1"/>
      <w:overflowPunct w:val="0"/>
      <w:spacing w:before="240"/>
      <w:ind w:firstLine="426"/>
      <w:jc w:val="center"/>
    </w:pPr>
    <w:rPr>
      <w:rFonts w:ascii="Arial Bold" w:cs="Times New Roman" w:eastAsia="STZhongsong" w:hAnsi="Arial Bold"/>
      <w:b w:val="1"/>
      <w:caps w:val="1"/>
      <w:lang w:eastAsia="zh-CN"/>
    </w:rPr>
  </w:style>
  <w:style w:type="paragraph" w:styleId="GPSL2Numbered" w:customStyle="1">
    <w:name w:val="GPS L2 Numbered"/>
    <w:basedOn w:val="GPSL2NumberedBoldHeading"/>
    <w:pPr>
      <w:tabs>
        <w:tab w:val="clear" w:pos="3054"/>
      </w:tabs>
      <w:ind w:left="936" w:hanging="576"/>
    </w:pPr>
    <w:rPr>
      <w:b w:val="0"/>
    </w:rPr>
  </w:style>
  <w:style w:type="paragraph" w:styleId="GPSL1Schedulenumbered" w:customStyle="1">
    <w:name w:val="GPS L1 Schedule numbered"/>
    <w:basedOn w:val="Standard"/>
    <w:qFormat w:val="1"/>
    <w:pPr>
      <w:tabs>
        <w:tab w:val="left" w:pos="851"/>
      </w:tabs>
    </w:pPr>
  </w:style>
  <w:style w:type="paragraph" w:styleId="BalloonText">
    <w:name w:val="Balloon Text"/>
    <w:basedOn w:val="Standard"/>
    <w:pPr>
      <w:spacing w:after="0"/>
    </w:pPr>
    <w:rPr>
      <w:rFonts w:ascii="Tahoma" w:cs="Tahoma" w:eastAsia="Tahoma" w:hAnsi="Tahoma"/>
      <w:sz w:val="16"/>
      <w:szCs w:val="16"/>
    </w:rPr>
  </w:style>
  <w:style w:type="paragraph" w:styleId="GPSL2Guidance" w:customStyle="1">
    <w:name w:val="GPS L2 Guidance"/>
    <w:basedOn w:val="Standard"/>
    <w:pPr>
      <w:tabs>
        <w:tab w:val="left" w:pos="2268"/>
      </w:tabs>
      <w:overflowPunct w:val="0"/>
      <w:spacing w:after="120" w:before="120"/>
      <w:ind w:left="1134"/>
    </w:pPr>
    <w:rPr>
      <w:b w:val="1"/>
      <w:i w:val="1"/>
      <w:lang w:eastAsia="zh-CN"/>
    </w:rPr>
  </w:style>
  <w:style w:type="paragraph" w:styleId="GPSL2Indent" w:customStyle="1">
    <w:name w:val="GPS L2 Indent"/>
    <w:basedOn w:val="Standard"/>
    <w:pPr>
      <w:tabs>
        <w:tab w:val="left" w:pos="4536"/>
      </w:tabs>
      <w:spacing w:after="220"/>
      <w:ind w:left="1134"/>
    </w:pPr>
    <w:rPr>
      <w:szCs w:val="24"/>
    </w:rPr>
  </w:style>
  <w:style w:type="paragraph" w:styleId="GPSL4Guidance" w:customStyle="1">
    <w:name w:val="GPS L4 Guidance"/>
    <w:basedOn w:val="Standard"/>
    <w:pPr>
      <w:tabs>
        <w:tab w:val="left" w:pos="3970"/>
      </w:tabs>
      <w:overflowPunct w:val="0"/>
      <w:spacing w:after="120" w:before="120"/>
      <w:ind w:left="1985"/>
    </w:pPr>
    <w:rPr>
      <w:b w:val="1"/>
      <w:i w:val="1"/>
      <w:lang w:eastAsia="zh-CN"/>
    </w:rPr>
  </w:style>
  <w:style w:type="paragraph" w:styleId="GPSL2non-numberboldheading" w:customStyle="1">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val="1"/>
      <w:bCs w:val="1"/>
    </w:rPr>
  </w:style>
  <w:style w:type="character" w:styleId="HeaderChar" w:customStyle="1">
    <w:name w:val="Header Char"/>
    <w:basedOn w:val="DefaultParagraphFont"/>
  </w:style>
  <w:style w:type="character" w:styleId="FooterChar" w:customStyle="1">
    <w:name w:val="Footer Char"/>
    <w:basedOn w:val="DefaultParagraphFont"/>
    <w:uiPriority w:val="99"/>
  </w:style>
  <w:style w:type="character" w:styleId="Emphasis">
    <w:name w:val="Emphasis"/>
    <w:basedOn w:val="DefaultParagraphFont"/>
    <w:rPr>
      <w:i w:val="1"/>
      <w:iCs w:val="1"/>
    </w:rPr>
  </w:style>
  <w:style w:type="character" w:styleId="MarginTextChar" w:customStyle="1">
    <w:name w:val="Margin Text Char"/>
    <w:rPr>
      <w:rFonts w:ascii="Calibri" w:cs="Times New Roman" w:eastAsia="STZhongsong" w:hAnsi="Calibri"/>
      <w:szCs w:val="18"/>
      <w:lang w:eastAsia="zh-CN"/>
    </w:rPr>
  </w:style>
  <w:style w:type="character" w:styleId="GPSL2NumberedChar" w:customStyle="1">
    <w:name w:val="GPS L2 Numbered Char"/>
    <w:rPr>
      <w:rFonts w:ascii="Calibri" w:cs="Arial" w:eastAsia="Times New Roman" w:hAnsi="Calibri"/>
      <w:lang w:eastAsia="zh-CN"/>
    </w:rPr>
  </w:style>
  <w:style w:type="character" w:styleId="GPSL1SCHEDULEHeadingChar" w:customStyle="1">
    <w:name w:val="GPS L1 SCHEDULE Heading Char"/>
    <w:rPr>
      <w:rFonts w:ascii="Calibri" w:cs="Arial" w:eastAsia="STZhongsong" w:hAnsi="Calibri"/>
      <w:b w:val="1"/>
      <w:caps w:val="1"/>
      <w:lang w:eastAsia="zh-CN"/>
    </w:rPr>
  </w:style>
  <w:style w:type="character" w:styleId="GPSL1SchedulenumberedChar1" w:customStyle="1">
    <w:name w:val="GPS L1 Schedule numbered Char1"/>
    <w:rPr>
      <w:rFonts w:ascii="Calibri" w:cs="Arial" w:eastAsia="Times New Roman" w:hAnsi="Calibri"/>
    </w:rPr>
  </w:style>
  <w:style w:type="character" w:styleId="GPSL1GuidanceChar" w:customStyle="1">
    <w:name w:val="GPS L1 Guidance Char"/>
    <w:rPr>
      <w:rFonts w:ascii="Calibri" w:cs="Arial" w:eastAsia="Times New Roman" w:hAnsi="Calibri"/>
      <w:b w:val="1"/>
      <w:i w:val="1"/>
    </w:rPr>
  </w:style>
  <w:style w:type="character" w:styleId="GPSSchTitleandNumberChar" w:customStyle="1">
    <w:name w:val="GPS Sch Title and Number Char"/>
    <w:rPr>
      <w:rFonts w:ascii="Arial Bold" w:cs="Times New Roman" w:eastAsia="STZhongsong" w:hAnsi="Arial Bold"/>
      <w:b w:val="1"/>
      <w:caps w:val="1"/>
      <w:lang w:eastAsia="zh-CN"/>
    </w:rPr>
  </w:style>
  <w:style w:type="character" w:styleId="GPSSchPartChar" w:customStyle="1">
    <w:name w:val="GPS Sch Part Char"/>
    <w:rPr>
      <w:rFonts w:ascii="Arial Bold" w:cs="Times New Roman" w:eastAsia="STZhongsong" w:hAnsi="Arial Bold"/>
      <w:b w:val="1"/>
      <w:caps w:val="1"/>
      <w:lang w:eastAsia="zh-CN"/>
    </w:rPr>
  </w:style>
  <w:style w:type="character" w:styleId="BalloonTextChar" w:customStyle="1">
    <w:name w:val="Balloon Text Char"/>
    <w:basedOn w:val="DefaultParagraphFont"/>
    <w:rPr>
      <w:rFonts w:ascii="Tahoma" w:cs="Tahoma" w:eastAsia="Times New Roman" w:hAnsi="Tahoma"/>
      <w:sz w:val="16"/>
      <w:szCs w:val="16"/>
    </w:rPr>
  </w:style>
  <w:style w:type="character" w:styleId="GPSL4numberedclauseChar" w:customStyle="1">
    <w:name w:val="GPS L4 numbered clause Char"/>
    <w:rPr>
      <w:rFonts w:ascii="Calibri" w:cs="Arial" w:eastAsia="Times New Roman" w:hAnsi="Calibri"/>
      <w:lang w:eastAsia="zh-CN"/>
    </w:rPr>
  </w:style>
  <w:style w:type="character" w:styleId="GPSL3numberedclauseChar" w:customStyle="1">
    <w:name w:val="GPS L3 numbered clause Char"/>
    <w:rPr>
      <w:rFonts w:ascii="Calibri" w:cs="Arial" w:eastAsia="Times New Roman" w:hAnsi="Calibri"/>
      <w:lang w:eastAsia="zh-CN"/>
    </w:rPr>
  </w:style>
  <w:style w:type="character" w:styleId="GPSL5numberedclauseChar" w:customStyle="1">
    <w:name w:val="GPS L5 numbered clause Char"/>
    <w:rPr>
      <w:rFonts w:ascii="Calibri" w:cs="Arial" w:eastAsia="Times New Roman" w:hAnsi="Calibri"/>
      <w:lang w:eastAsia="zh-CN"/>
    </w:rPr>
  </w:style>
  <w:style w:type="character" w:styleId="GPSL4GuidanceChar" w:customStyle="1">
    <w:name w:val="GPS L4 Guidance Char"/>
    <w:rPr>
      <w:rFonts w:ascii="Calibri" w:cs="Arial" w:eastAsia="Times New Roman" w:hAnsi="Calibri"/>
      <w:b w:val="1"/>
      <w:i w:val="1"/>
      <w:lang w:eastAsia="zh-CN"/>
    </w:rPr>
  </w:style>
  <w:style w:type="character" w:styleId="GPSL2non-numberboldheadingChar" w:customStyle="1">
    <w:name w:val="GPS L2 non-number bold heading Char"/>
    <w:rPr>
      <w:rFonts w:ascii="Calibri" w:cs="Arial" w:eastAsia="Times New Roman" w:hAnsi="Calibri"/>
      <w:b w:val="1"/>
      <w:lang w:eastAsia="zh-CN"/>
    </w:rPr>
  </w:style>
  <w:style w:type="character" w:styleId="GPSL2IndentChar" w:customStyle="1">
    <w:name w:val="GPS L2 Indent Char"/>
    <w:rPr>
      <w:rFonts w:ascii="Calibri" w:cs="Arial" w:eastAsia="Times New Roman" w:hAnsi="Calibri"/>
      <w:szCs w:val="24"/>
    </w:rPr>
  </w:style>
  <w:style w:type="character" w:styleId="GPSL2GuidanceChar" w:customStyle="1">
    <w:name w:val="GPS L2 Guidance Char"/>
    <w:rPr>
      <w:rFonts w:ascii="Calibri" w:cs="Arial" w:eastAsia="Times New Roman" w:hAnsi="Calibri"/>
      <w:b w:val="1"/>
      <w:i w:val="1"/>
      <w:lang w:eastAsia="zh-CN"/>
    </w:rPr>
  </w:style>
  <w:style w:type="character" w:styleId="CommentReference">
    <w:name w:val="annotation reference"/>
    <w:basedOn w:val="DefaultParagraphFont"/>
    <w:rPr>
      <w:sz w:val="16"/>
      <w:szCs w:val="16"/>
    </w:rPr>
  </w:style>
  <w:style w:type="character" w:styleId="CommentTextChar" w:customStyle="1">
    <w:name w:val="Comment Text Char"/>
    <w:basedOn w:val="DefaultParagraphFont"/>
    <w:rPr>
      <w:rFonts w:ascii="Calibri" w:cs="Arial" w:eastAsia="Times New Roman" w:hAnsi="Calibri"/>
      <w:sz w:val="20"/>
      <w:szCs w:val="20"/>
    </w:rPr>
  </w:style>
  <w:style w:type="character" w:styleId="CommentSubjectChar" w:customStyle="1">
    <w:name w:val="Comment Subject Char"/>
    <w:basedOn w:val="CommentTextChar"/>
    <w:rPr>
      <w:rFonts w:ascii="Calibri" w:cs="Arial" w:eastAsia="Times New Roman" w:hAnsi="Calibri"/>
      <w:b w:val="1"/>
      <w:bCs w:val="1"/>
      <w:sz w:val="20"/>
      <w:szCs w:val="20"/>
    </w:rPr>
  </w:style>
  <w:style w:type="character" w:styleId="ListLabel1" w:customStyle="1">
    <w:name w:val="ListLabel 1"/>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 w:customStyle="1">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 w:customStyle="1">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 w:customStyle="1">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 w:customStyle="1">
    <w:name w:val="ListLabel 5"/>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 w:customStyle="1">
    <w:name w:val="ListLabel 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 w:customStyle="1">
    <w:name w:val="ListLabel 7"/>
    <w:rPr>
      <w:rFonts w:cs="Times New Roman"/>
    </w:rPr>
  </w:style>
  <w:style w:type="character" w:styleId="ListLabel8" w:customStyle="1">
    <w:name w:val="ListLabel 8"/>
    <w:rPr>
      <w:rFonts w:cs="Times New Roman"/>
    </w:rPr>
  </w:style>
  <w:style w:type="character" w:styleId="ListLabel9" w:customStyle="1">
    <w:name w:val="ListLabel 9"/>
    <w:rPr>
      <w:rFonts w:cs="Times New Roman"/>
    </w:rPr>
  </w:style>
  <w:style w:type="character" w:styleId="ListLabel10" w:customStyle="1">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11" w:customStyle="1">
    <w:name w:val="ListLabel 11"/>
    <w:rPr>
      <w:rFonts w:cs="Times New Roman"/>
    </w:rPr>
  </w:style>
  <w:style w:type="character" w:styleId="ListLabel12" w:customStyle="1">
    <w:name w:val="ListLabel 12"/>
    <w:rPr>
      <w:rFonts w:cs="Times New Roman"/>
    </w:rPr>
  </w:style>
  <w:style w:type="character" w:styleId="ListLabel13" w:customStyle="1">
    <w:name w:val="ListLabel 13"/>
    <w:rPr>
      <w:rFonts w:cs="Times New Roman"/>
    </w:rPr>
  </w:style>
  <w:style w:type="character" w:styleId="ListLabel14" w:customStyle="1">
    <w:name w:val="ListLabel 14"/>
    <w:rPr>
      <w:rFonts w:cs="Times New Roman"/>
    </w:rPr>
  </w:style>
  <w:style w:type="character" w:styleId="ListLabel15" w:customStyle="1">
    <w:name w:val="ListLabel 15"/>
    <w:rPr>
      <w:rFonts w:cs="Times New Roman"/>
    </w:rPr>
  </w:style>
  <w:style w:type="character" w:styleId="ListLabel16" w:customStyle="1">
    <w:name w:val="ListLabel 16"/>
    <w:rPr>
      <w:rFonts w:cs="Times New Roman"/>
    </w:rPr>
  </w:style>
  <w:style w:type="character" w:styleId="ListLabel17" w:customStyle="1">
    <w:name w:val="ListLabel 17"/>
    <w:rPr>
      <w:rFonts w:cs="Times New Roman"/>
    </w:rPr>
  </w:style>
  <w:style w:type="character" w:styleId="ListLabel18" w:customStyle="1">
    <w:name w:val="ListLabel 18"/>
    <w:rPr>
      <w:rFonts w:cs="Times New Roman"/>
    </w:rPr>
  </w:style>
  <w:style w:type="character" w:styleId="ListLabel19" w:customStyle="1">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0" w:customStyle="1">
    <w:name w:val="ListLabel 20"/>
    <w:rPr>
      <w:rFonts w:cs="Times New Roman"/>
    </w:rPr>
  </w:style>
  <w:style w:type="character" w:styleId="ListLabel21" w:customStyle="1">
    <w:name w:val="ListLabel 21"/>
    <w:rPr>
      <w:rFonts w:cs="Times New Roman"/>
    </w:rPr>
  </w:style>
  <w:style w:type="character" w:styleId="ListLabel22" w:customStyle="1">
    <w:name w:val="ListLabel 22"/>
    <w:rPr>
      <w:rFonts w:cs="Times New Roman"/>
    </w:rPr>
  </w:style>
  <w:style w:type="character" w:styleId="ListLabel23" w:customStyle="1">
    <w:name w:val="ListLabel 23"/>
    <w:rPr>
      <w:rFonts w:cs="Times New Roman"/>
    </w:rPr>
  </w:style>
  <w:style w:type="character" w:styleId="ListLabel24" w:customStyle="1">
    <w:name w:val="ListLabel 24"/>
    <w:rPr>
      <w:rFonts w:cs="Times New Roman"/>
    </w:rPr>
  </w:style>
  <w:style w:type="character" w:styleId="ListLabel25" w:customStyle="1">
    <w:name w:val="ListLabel 25"/>
    <w:rPr>
      <w:rFonts w:cs="Times New Roman"/>
    </w:rPr>
  </w:style>
  <w:style w:type="character" w:styleId="ListLabel26" w:customStyle="1">
    <w:name w:val="ListLabel 26"/>
    <w:rPr>
      <w:rFonts w:cs="Times New Roman"/>
    </w:rPr>
  </w:style>
  <w:style w:type="character" w:styleId="ListLabel27" w:customStyle="1">
    <w:name w:val="ListLabel 27"/>
    <w:rPr>
      <w:rFonts w:cs="Times New Roman"/>
    </w:rPr>
  </w:style>
  <w:style w:type="character" w:styleId="ListLabel28" w:customStyle="1">
    <w:name w:val="ListLabel 28"/>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9" w:customStyle="1">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0" w:customStyle="1">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1" w:customStyle="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2" w:customStyle="1">
    <w:name w:val="ListLabel 3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3" w:customStyle="1">
    <w:name w:val="ListLabel 33"/>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4" w:customStyle="1">
    <w:name w:val="ListLabel 34"/>
    <w:rPr>
      <w:rFonts w:cs="Times New Roman"/>
    </w:rPr>
  </w:style>
  <w:style w:type="character" w:styleId="ListLabel35" w:customStyle="1">
    <w:name w:val="ListLabel 35"/>
    <w:rPr>
      <w:rFonts w:cs="Times New Roman"/>
    </w:rPr>
  </w:style>
  <w:style w:type="character" w:styleId="ListLabel36" w:customStyle="1">
    <w:name w:val="ListLabel 36"/>
    <w:rPr>
      <w:rFonts w:cs="Times New Roman"/>
    </w:rPr>
  </w:style>
  <w:style w:type="character" w:styleId="ListLabel37" w:customStyle="1">
    <w:name w:val="ListLabel 37"/>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8" w:customStyle="1">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9" w:customStyle="1">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0" w:customStyle="1">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1" w:customStyle="1">
    <w:name w:val="ListLabel 4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2" w:customStyle="1">
    <w:name w:val="ListLabel 4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3" w:customStyle="1">
    <w:name w:val="ListLabel 43"/>
    <w:rPr>
      <w:rFonts w:cs="Times New Roman"/>
    </w:rPr>
  </w:style>
  <w:style w:type="character" w:styleId="ListLabel44" w:customStyle="1">
    <w:name w:val="ListLabel 44"/>
    <w:rPr>
      <w:rFonts w:cs="Times New Roman"/>
    </w:rPr>
  </w:style>
  <w:style w:type="character" w:styleId="ListLabel45" w:customStyle="1">
    <w:name w:val="ListLabel 45"/>
    <w:rPr>
      <w:rFonts w:cs="Times New Roman"/>
    </w:rPr>
  </w:style>
  <w:style w:type="character" w:styleId="ListLabel46" w:customStyle="1">
    <w:name w:val="ListLabel 46"/>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7" w:customStyle="1">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8" w:customStyle="1">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9" w:customStyle="1">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0" w:customStyle="1">
    <w:name w:val="ListLabel 5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1" w:customStyle="1">
    <w:name w:val="ListLabel 5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2" w:customStyle="1">
    <w:name w:val="ListLabel 52"/>
    <w:rPr>
      <w:rFonts w:cs="Times New Roman"/>
    </w:rPr>
  </w:style>
  <w:style w:type="character" w:styleId="ListLabel53" w:customStyle="1">
    <w:name w:val="ListLabel 53"/>
    <w:rPr>
      <w:rFonts w:cs="Times New Roman"/>
    </w:rPr>
  </w:style>
  <w:style w:type="character" w:styleId="ListLabel54" w:customStyle="1">
    <w:name w:val="ListLabel 54"/>
    <w:rPr>
      <w:rFonts w:cs="Times New Roman"/>
    </w:rPr>
  </w:style>
  <w:style w:type="character" w:styleId="ListLabel55" w:customStyle="1">
    <w:name w:val="ListLabel 55"/>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6" w:customStyle="1">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7" w:customStyle="1">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8" w:customStyle="1">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9" w:customStyle="1">
    <w:name w:val="ListLabel 59"/>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0" w:customStyle="1">
    <w:name w:val="ListLabel 6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1" w:customStyle="1">
    <w:name w:val="ListLabel 61"/>
    <w:rPr>
      <w:rFonts w:cs="Times New Roman"/>
    </w:rPr>
  </w:style>
  <w:style w:type="character" w:styleId="ListLabel62" w:customStyle="1">
    <w:name w:val="ListLabel 62"/>
    <w:rPr>
      <w:rFonts w:cs="Times New Roman"/>
    </w:rPr>
  </w:style>
  <w:style w:type="character" w:styleId="ListLabel63" w:customStyle="1">
    <w:name w:val="ListLabel 63"/>
    <w:rPr>
      <w:rFonts w:cs="Times New Roman"/>
    </w:rPr>
  </w:style>
  <w:style w:type="character" w:styleId="ListLabel64" w:customStyle="1">
    <w:name w:val="ListLabel 64"/>
    <w:rPr>
      <w:rFonts w:cs="Courier New"/>
      <w:b w:val="0"/>
    </w:rPr>
  </w:style>
  <w:style w:type="character" w:styleId="ListLabel65" w:customStyle="1">
    <w:name w:val="ListLabel 65"/>
    <w:rPr>
      <w:rFonts w:cs="Courier New"/>
    </w:rPr>
  </w:style>
  <w:style w:type="character" w:styleId="ListLabel66" w:customStyle="1">
    <w:name w:val="ListLabel 66"/>
    <w:rPr>
      <w:rFonts w:cs="Courier New"/>
    </w:rPr>
  </w:style>
  <w:style w:type="character" w:styleId="ListLabel67" w:customStyle="1">
    <w:name w:val="ListLabel 67"/>
    <w:rPr>
      <w:rFonts w:cs="Courier New"/>
    </w:rPr>
  </w:style>
  <w:style w:type="character" w:styleId="ListLabel68" w:customStyle="1">
    <w:name w:val="ListLabel 68"/>
    <w:rPr>
      <w:rFonts w:cs="Courier New"/>
    </w:rPr>
  </w:style>
  <w:style w:type="character" w:styleId="ListLabel69" w:customStyle="1">
    <w:name w:val="ListLabel 69"/>
    <w:rPr>
      <w:rFonts w:cs="Courier New"/>
    </w:rPr>
  </w:style>
  <w:style w:type="character" w:styleId="ListLabel70" w:customStyle="1">
    <w:name w:val="ListLabel 70"/>
    <w:rPr>
      <w:rFonts w:cs="Courier New"/>
    </w:rPr>
  </w:style>
  <w:style w:type="character" w:styleId="ListLabel71" w:customStyle="1">
    <w:name w:val="ListLabel 71"/>
    <w:rPr>
      <w:rFonts w:cs="Courier New"/>
    </w:rPr>
  </w:style>
  <w:style w:type="character" w:styleId="ListLabel72" w:customStyle="1">
    <w:name w:val="ListLabel 72"/>
    <w:rPr>
      <w:rFonts w:cs="Courier New"/>
    </w:rPr>
  </w:style>
  <w:style w:type="character" w:styleId="ListLabel73" w:customStyle="1">
    <w:name w:val="ListLabel 73"/>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4" w:customStyle="1">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5" w:customStyle="1">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6" w:customStyle="1">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7" w:customStyle="1">
    <w:name w:val="ListLabel 7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8" w:customStyle="1">
    <w:name w:val="ListLabel 78"/>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9" w:customStyle="1">
    <w:name w:val="ListLabel 79"/>
    <w:rPr>
      <w:rFonts w:cs="Times New Roman"/>
    </w:rPr>
  </w:style>
  <w:style w:type="character" w:styleId="ListLabel80" w:customStyle="1">
    <w:name w:val="ListLabel 80"/>
    <w:rPr>
      <w:rFonts w:cs="Times New Roman"/>
    </w:rPr>
  </w:style>
  <w:style w:type="character" w:styleId="ListLabel81" w:customStyle="1">
    <w:name w:val="ListLabel 81"/>
    <w:rPr>
      <w:rFonts w:cs="Times New Roman"/>
    </w:rPr>
  </w:style>
  <w:style w:type="character" w:styleId="ListLabel82" w:customStyle="1">
    <w:name w:val="ListLabel 82"/>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3" w:customStyle="1">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4" w:customStyle="1">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5" w:customStyle="1">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6" w:customStyle="1">
    <w:name w:val="ListLabel 8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7" w:customStyle="1">
    <w:name w:val="ListLabel 8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8" w:customStyle="1">
    <w:name w:val="ListLabel 88"/>
    <w:rPr>
      <w:rFonts w:cs="Times New Roman"/>
    </w:rPr>
  </w:style>
  <w:style w:type="character" w:styleId="ListLabel89" w:customStyle="1">
    <w:name w:val="ListLabel 89"/>
    <w:rPr>
      <w:rFonts w:cs="Times New Roman"/>
    </w:rPr>
  </w:style>
  <w:style w:type="character" w:styleId="ListLabel90" w:customStyle="1">
    <w:name w:val="ListLabel 90"/>
    <w:rPr>
      <w:rFonts w:cs="Times New Roman"/>
    </w:rPr>
  </w:style>
  <w:style w:type="numbering" w:styleId="NoList1" w:customStyle="1">
    <w:name w:val="No List_1"/>
    <w:basedOn w:val="NoList"/>
  </w:style>
  <w:style w:type="numbering" w:styleId="WWNum1" w:customStyle="1">
    <w:name w:val="WWNum1"/>
    <w:basedOn w:val="NoList"/>
  </w:style>
  <w:style w:type="numbering" w:styleId="WWNum2" w:customStyle="1">
    <w:name w:val="WWNum2"/>
    <w:basedOn w:val="NoList"/>
  </w:style>
  <w:style w:type="numbering" w:styleId="WWNum3" w:customStyle="1">
    <w:name w:val="WWNum3"/>
    <w:basedOn w:val="NoList"/>
  </w:style>
  <w:style w:type="numbering" w:styleId="WWNum4" w:customStyle="1">
    <w:name w:val="WWNum4"/>
    <w:basedOn w:val="NoList"/>
  </w:style>
  <w:style w:type="numbering" w:styleId="WWNum5" w:customStyle="1">
    <w:name w:val="WWNum5"/>
    <w:basedOn w:val="NoList"/>
  </w:style>
  <w:style w:type="numbering" w:styleId="WWNum6" w:customStyle="1">
    <w:name w:val="WWNum6"/>
    <w:basedOn w:val="NoList"/>
  </w:style>
  <w:style w:type="numbering" w:styleId="WWNum7" w:customStyle="1">
    <w:name w:val="WWNum7"/>
    <w:basedOn w:val="NoList"/>
  </w:style>
  <w:style w:type="numbering" w:styleId="WWNum8" w:customStyle="1">
    <w:name w:val="WWNum8"/>
    <w:basedOn w:val="NoList"/>
  </w:style>
  <w:style w:type="numbering" w:styleId="WWNum9" w:customStyle="1">
    <w:name w:val="WWNum9"/>
    <w:basedOn w:val="NoList"/>
  </w:style>
  <w:style w:type="numbering" w:styleId="WWNum10" w:customStyle="1">
    <w:name w:val="WWNum10"/>
    <w:basedOn w:val="NoList"/>
    <w:pPr>
      <w:numPr>
        <w:numId w:val="17"/>
      </w:numPr>
    </w:pPr>
  </w:style>
  <w:style w:type="numbering" w:styleId="WWNum11" w:customStyle="1">
    <w:name w:val="WWNum11"/>
    <w:basedOn w:val="NoList"/>
  </w:style>
  <w:style w:type="numbering" w:styleId="WWNum12" w:customStyle="1">
    <w:name w:val="WWNum12"/>
    <w:basedOn w:val="NoList"/>
  </w:style>
  <w:style w:type="numbering" w:styleId="WWNum13" w:customStyle="1">
    <w:name w:val="WWNum13"/>
    <w:basedOn w:val="NoList"/>
  </w:style>
  <w:style w:type="table" w:styleId="TableGrid">
    <w:name w:val="Table Grid"/>
    <w:basedOn w:val="TableNormal"/>
    <w:uiPriority w:val="39"/>
    <w:rsid w:val="007A5C9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AMainHeading" w:customStyle="1">
    <w:name w:val="FA: Main Heading"/>
    <w:basedOn w:val="Heading1"/>
    <w:qFormat w:val="1"/>
    <w:rsid w:val="00532FDD"/>
    <w:pPr>
      <w:numPr>
        <w:numId w:val="15"/>
      </w:numPr>
      <w:tabs>
        <w:tab w:val="num" w:pos="360"/>
      </w:tabs>
      <w:spacing w:after="20" w:before="20"/>
      <w:ind w:left="0" w:firstLine="0"/>
    </w:pPr>
    <w:rPr>
      <w:rFonts w:ascii="Arial" w:cs="Arial" w:eastAsia="Calibri" w:hAnsi="Arial"/>
      <w:b w:val="1"/>
      <w:color w:val="auto"/>
      <w:sz w:val="22"/>
      <w:szCs w:val="36"/>
    </w:rPr>
  </w:style>
  <w:style w:type="paragraph" w:styleId="FALevel1" w:customStyle="1">
    <w:name w:val="FA: Level 1"/>
    <w:basedOn w:val="Normal"/>
    <w:link w:val="FALevel1Char"/>
    <w:qFormat w:val="1"/>
    <w:rsid w:val="00532FDD"/>
    <w:pPr>
      <w:widowControl w:val="1"/>
      <w:numPr>
        <w:ilvl w:val="1"/>
        <w:numId w:val="15"/>
      </w:numPr>
      <w:spacing w:after="280" w:before="120" w:line="259" w:lineRule="auto"/>
    </w:pPr>
    <w:rPr>
      <w:rFonts w:ascii="Arial" w:cs="Arial" w:hAnsi="Arial" w:eastAsiaTheme="minorHAnsi"/>
    </w:rPr>
  </w:style>
  <w:style w:type="character" w:styleId="FALevel1Char" w:customStyle="1">
    <w:name w:val="FA: Level 1 Char"/>
    <w:basedOn w:val="DefaultParagraphFont"/>
    <w:link w:val="FALevel1"/>
    <w:rsid w:val="00532FDD"/>
    <w:rPr>
      <w:rFonts w:ascii="Arial" w:cs="Arial" w:hAnsi="Arial" w:eastAsiaTheme="minorHAnsi"/>
    </w:rPr>
  </w:style>
  <w:style w:type="paragraph" w:styleId="FALevel2" w:customStyle="1">
    <w:name w:val="FA: Level 2"/>
    <w:basedOn w:val="Normal"/>
    <w:link w:val="FALevel2Char"/>
    <w:qFormat w:val="1"/>
    <w:rsid w:val="00532FDD"/>
    <w:pPr>
      <w:widowControl w:val="1"/>
      <w:numPr>
        <w:ilvl w:val="2"/>
        <w:numId w:val="15"/>
      </w:numPr>
      <w:spacing w:after="280" w:before="120" w:line="259" w:lineRule="auto"/>
    </w:pPr>
    <w:rPr>
      <w:rFonts w:ascii="Arial" w:cs="Arial" w:hAnsi="Arial" w:eastAsiaTheme="minorHAnsi"/>
    </w:rPr>
  </w:style>
  <w:style w:type="character" w:styleId="FALevel2Char" w:customStyle="1">
    <w:name w:val="FA: Level 2 Char"/>
    <w:basedOn w:val="DefaultParagraphFont"/>
    <w:link w:val="FALevel2"/>
    <w:rsid w:val="00532FDD"/>
    <w:rPr>
      <w:rFonts w:ascii="Arial" w:cs="Arial" w:hAnsi="Arial" w:eastAsiaTheme="minorHAnsi"/>
    </w:rPr>
  </w:style>
  <w:style w:type="character" w:styleId="Heading1Char" w:customStyle="1">
    <w:name w:val="Heading 1 Char"/>
    <w:basedOn w:val="DefaultParagraphFont"/>
    <w:link w:val="Heading1"/>
    <w:uiPriority w:val="9"/>
    <w:rsid w:val="00532FDD"/>
    <w:rPr>
      <w:rFonts w:asciiTheme="majorHAnsi" w:cstheme="majorBidi" w:eastAsiaTheme="majorEastAsia" w:hAnsiTheme="majorHAnsi"/>
      <w:color w:val="2f5496" w:themeColor="accent1" w:themeShade="0000BF"/>
      <w:sz w:val="32"/>
      <w:szCs w:val="32"/>
    </w:rPr>
  </w:style>
  <w:style w:type="paragraph" w:styleId="FABulletPoints" w:customStyle="1">
    <w:name w:val="FA: Bullet Points"/>
    <w:basedOn w:val="Normal"/>
    <w:link w:val="FABulletPointsChar"/>
    <w:qFormat w:val="1"/>
    <w:rsid w:val="00532FDD"/>
    <w:pPr>
      <w:widowControl w:val="1"/>
      <w:tabs>
        <w:tab w:val="num" w:pos="720"/>
      </w:tabs>
      <w:ind w:left="720" w:hanging="720"/>
    </w:pPr>
    <w:rPr>
      <w:rFonts w:ascii="Arial" w:cs="Arial" w:hAnsi="Arial" w:eastAsiaTheme="minorHAnsi"/>
    </w:rPr>
  </w:style>
  <w:style w:type="character" w:styleId="FABulletPointsChar" w:customStyle="1">
    <w:name w:val="FA: Bullet Points Char"/>
    <w:basedOn w:val="DefaultParagraphFont"/>
    <w:link w:val="FABulletPoints"/>
    <w:rsid w:val="00532FDD"/>
    <w:rPr>
      <w:rFonts w:ascii="Arial" w:cs="Arial" w:hAnsi="Arial" w:eastAsiaTheme="minorHAnsi"/>
    </w:rPr>
  </w:style>
  <w:style w:type="paragraph" w:styleId="Revision">
    <w:name w:val="Revision"/>
    <w:hidden w:val="1"/>
    <w:uiPriority w:val="99"/>
    <w:semiHidden w:val="1"/>
    <w:rsid w:val="00CE0EDB"/>
    <w:pPr>
      <w:widowControl w:val="1"/>
    </w:p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X593JO12dOEkslnrf4ei62w5xhA==">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2020-10-15T09:02:00Z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